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208C2" w14:textId="35F2BCE4" w:rsidR="00B144FF" w:rsidRPr="00580259" w:rsidRDefault="00000000" w:rsidP="00580259">
      <w:pPr>
        <w:pStyle w:val="a3"/>
        <w:spacing w:after="300"/>
        <w:jc w:val="center"/>
        <w:rPr>
          <w:b/>
          <w:bCs/>
          <w:sz w:val="24"/>
          <w:szCs w:val="24"/>
          <w:lang w:val="uk-UA"/>
        </w:rPr>
      </w:pPr>
      <w:r w:rsidRPr="00580259">
        <w:rPr>
          <w:b/>
          <w:bCs/>
          <w:sz w:val="24"/>
          <w:szCs w:val="24"/>
        </w:rPr>
        <w:t xml:space="preserve">Summary Overview of the Monitoring Report on Implementation of the 2025–2027 Action Plan for the State Regional Development Strategy through 2027 </w:t>
      </w:r>
      <w:r w:rsidR="00580259">
        <w:rPr>
          <w:b/>
          <w:bCs/>
          <w:sz w:val="24"/>
          <w:szCs w:val="24"/>
          <w:lang w:val="uk-UA"/>
        </w:rPr>
        <w:t>(</w:t>
      </w:r>
      <w:r w:rsidRPr="00580259">
        <w:rPr>
          <w:b/>
          <w:bCs/>
          <w:sz w:val="24"/>
          <w:szCs w:val="24"/>
        </w:rPr>
        <w:t>2025 Results</w:t>
      </w:r>
      <w:r w:rsidR="00580259">
        <w:rPr>
          <w:b/>
          <w:bCs/>
          <w:sz w:val="24"/>
          <w:szCs w:val="24"/>
          <w:lang w:val="uk-UA"/>
        </w:rPr>
        <w:t>)</w:t>
      </w:r>
    </w:p>
    <w:p w14:paraId="3466B166" w14:textId="3F89A242" w:rsidR="00B144FF" w:rsidRPr="00211562" w:rsidRDefault="00000000" w:rsidP="00580259">
      <w:pPr>
        <w:pStyle w:val="1"/>
        <w:spacing w:before="300" w:after="150"/>
        <w:jc w:val="both"/>
        <w:rPr>
          <w:sz w:val="24"/>
          <w:szCs w:val="24"/>
          <w:lang w:val="uk-UA"/>
        </w:rPr>
      </w:pPr>
      <w:r w:rsidRPr="00580259">
        <w:rPr>
          <w:sz w:val="24"/>
          <w:szCs w:val="24"/>
        </w:rPr>
        <w:t>Strategic Goal</w:t>
      </w:r>
      <w:r w:rsidR="00211562">
        <w:rPr>
          <w:sz w:val="24"/>
          <w:szCs w:val="24"/>
          <w:lang w:val="uk-UA"/>
        </w:rPr>
        <w:t xml:space="preserve">: </w:t>
      </w:r>
      <w:proofErr w:type="spellStart"/>
      <w:r w:rsidR="00211562" w:rsidRPr="00211562">
        <w:rPr>
          <w:sz w:val="24"/>
          <w:szCs w:val="24"/>
          <w:lang w:val="uk-UA"/>
        </w:rPr>
        <w:t>Building</w:t>
      </w:r>
      <w:proofErr w:type="spellEnd"/>
      <w:r w:rsidR="00211562" w:rsidRPr="00211562">
        <w:rPr>
          <w:sz w:val="24"/>
          <w:szCs w:val="24"/>
          <w:lang w:val="uk-UA"/>
        </w:rPr>
        <w:t xml:space="preserve"> a </w:t>
      </w:r>
      <w:proofErr w:type="spellStart"/>
      <w:r w:rsidR="00211562" w:rsidRPr="00211562">
        <w:rPr>
          <w:sz w:val="24"/>
          <w:szCs w:val="24"/>
          <w:lang w:val="uk-UA"/>
        </w:rPr>
        <w:t>state</w:t>
      </w:r>
      <w:proofErr w:type="spellEnd"/>
      <w:r w:rsidR="00211562" w:rsidRPr="00211562">
        <w:rPr>
          <w:sz w:val="24"/>
          <w:szCs w:val="24"/>
          <w:lang w:val="uk-UA"/>
        </w:rPr>
        <w:t xml:space="preserve"> </w:t>
      </w:r>
      <w:proofErr w:type="spellStart"/>
      <w:r w:rsidR="00211562" w:rsidRPr="00211562">
        <w:rPr>
          <w:sz w:val="24"/>
          <w:szCs w:val="24"/>
          <w:lang w:val="uk-UA"/>
        </w:rPr>
        <w:t>that</w:t>
      </w:r>
      <w:proofErr w:type="spellEnd"/>
      <w:r w:rsidR="00211562" w:rsidRPr="00211562">
        <w:rPr>
          <w:sz w:val="24"/>
          <w:szCs w:val="24"/>
          <w:lang w:val="uk-UA"/>
        </w:rPr>
        <w:t xml:space="preserve"> </w:t>
      </w:r>
      <w:proofErr w:type="spellStart"/>
      <w:r w:rsidR="00211562" w:rsidRPr="00211562">
        <w:rPr>
          <w:sz w:val="24"/>
          <w:szCs w:val="24"/>
          <w:lang w:val="uk-UA"/>
        </w:rPr>
        <w:t>is</w:t>
      </w:r>
      <w:proofErr w:type="spellEnd"/>
      <w:r w:rsidR="00211562" w:rsidRPr="00211562">
        <w:rPr>
          <w:sz w:val="24"/>
          <w:szCs w:val="24"/>
          <w:lang w:val="uk-UA"/>
        </w:rPr>
        <w:t xml:space="preserve"> </w:t>
      </w:r>
      <w:proofErr w:type="spellStart"/>
      <w:r w:rsidR="00211562" w:rsidRPr="00211562">
        <w:rPr>
          <w:sz w:val="24"/>
          <w:szCs w:val="24"/>
          <w:lang w:val="uk-UA"/>
        </w:rPr>
        <w:t>cohesive</w:t>
      </w:r>
      <w:proofErr w:type="spellEnd"/>
      <w:r w:rsidR="00211562" w:rsidRPr="00211562">
        <w:rPr>
          <w:sz w:val="24"/>
          <w:szCs w:val="24"/>
          <w:lang w:val="uk-UA"/>
        </w:rPr>
        <w:t xml:space="preserve"> </w:t>
      </w:r>
      <w:proofErr w:type="spellStart"/>
      <w:r w:rsidR="00211562" w:rsidRPr="00211562">
        <w:rPr>
          <w:sz w:val="24"/>
          <w:szCs w:val="24"/>
          <w:lang w:val="uk-UA"/>
        </w:rPr>
        <w:t>across</w:t>
      </w:r>
      <w:proofErr w:type="spellEnd"/>
      <w:r w:rsidR="00211562" w:rsidRPr="00211562">
        <w:rPr>
          <w:sz w:val="24"/>
          <w:szCs w:val="24"/>
          <w:lang w:val="uk-UA"/>
        </w:rPr>
        <w:t xml:space="preserve"> </w:t>
      </w:r>
      <w:proofErr w:type="spellStart"/>
      <w:r w:rsidR="00211562" w:rsidRPr="00211562">
        <w:rPr>
          <w:sz w:val="24"/>
          <w:szCs w:val="24"/>
          <w:lang w:val="uk-UA"/>
        </w:rPr>
        <w:t>its</w:t>
      </w:r>
      <w:proofErr w:type="spellEnd"/>
      <w:r w:rsidR="00211562" w:rsidRPr="00211562">
        <w:rPr>
          <w:sz w:val="24"/>
          <w:szCs w:val="24"/>
          <w:lang w:val="uk-UA"/>
        </w:rPr>
        <w:t xml:space="preserve"> </w:t>
      </w:r>
      <w:proofErr w:type="spellStart"/>
      <w:r w:rsidR="00211562" w:rsidRPr="00211562">
        <w:rPr>
          <w:sz w:val="24"/>
          <w:szCs w:val="24"/>
          <w:lang w:val="uk-UA"/>
        </w:rPr>
        <w:t>social</w:t>
      </w:r>
      <w:proofErr w:type="spellEnd"/>
      <w:r w:rsidR="00211562" w:rsidRPr="00211562">
        <w:rPr>
          <w:sz w:val="24"/>
          <w:szCs w:val="24"/>
          <w:lang w:val="uk-UA"/>
        </w:rPr>
        <w:t xml:space="preserve">, </w:t>
      </w:r>
      <w:proofErr w:type="spellStart"/>
      <w:r w:rsidR="00211562" w:rsidRPr="00211562">
        <w:rPr>
          <w:sz w:val="24"/>
          <w:szCs w:val="24"/>
          <w:lang w:val="uk-UA"/>
        </w:rPr>
        <w:t>humanitarian</w:t>
      </w:r>
      <w:proofErr w:type="spellEnd"/>
      <w:r w:rsidR="00211562" w:rsidRPr="00211562">
        <w:rPr>
          <w:sz w:val="24"/>
          <w:szCs w:val="24"/>
          <w:lang w:val="uk-UA"/>
        </w:rPr>
        <w:t xml:space="preserve">, </w:t>
      </w:r>
      <w:proofErr w:type="spellStart"/>
      <w:r w:rsidR="00211562" w:rsidRPr="00211562">
        <w:rPr>
          <w:sz w:val="24"/>
          <w:szCs w:val="24"/>
          <w:lang w:val="uk-UA"/>
        </w:rPr>
        <w:t>economic</w:t>
      </w:r>
      <w:proofErr w:type="spellEnd"/>
      <w:r w:rsidR="00211562" w:rsidRPr="00211562">
        <w:rPr>
          <w:sz w:val="24"/>
          <w:szCs w:val="24"/>
          <w:lang w:val="uk-UA"/>
        </w:rPr>
        <w:t xml:space="preserve">, </w:t>
      </w:r>
      <w:proofErr w:type="spellStart"/>
      <w:r w:rsidR="00211562" w:rsidRPr="00211562">
        <w:rPr>
          <w:sz w:val="24"/>
          <w:szCs w:val="24"/>
          <w:lang w:val="uk-UA"/>
        </w:rPr>
        <w:t>climate</w:t>
      </w:r>
      <w:proofErr w:type="spellEnd"/>
      <w:r w:rsidR="00211562" w:rsidRPr="00211562">
        <w:rPr>
          <w:sz w:val="24"/>
          <w:szCs w:val="24"/>
          <w:lang w:val="uk-UA"/>
        </w:rPr>
        <w:t xml:space="preserve">, </w:t>
      </w:r>
      <w:proofErr w:type="spellStart"/>
      <w:r w:rsidR="00211562" w:rsidRPr="00211562">
        <w:rPr>
          <w:sz w:val="24"/>
          <w:szCs w:val="24"/>
          <w:lang w:val="uk-UA"/>
        </w:rPr>
        <w:t>environmental</w:t>
      </w:r>
      <w:proofErr w:type="spellEnd"/>
      <w:r w:rsidR="00211562" w:rsidRPr="00211562">
        <w:rPr>
          <w:sz w:val="24"/>
          <w:szCs w:val="24"/>
          <w:lang w:val="uk-UA"/>
        </w:rPr>
        <w:t xml:space="preserve">, </w:t>
      </w:r>
      <w:proofErr w:type="spellStart"/>
      <w:r w:rsidR="00211562" w:rsidRPr="00211562">
        <w:rPr>
          <w:sz w:val="24"/>
          <w:szCs w:val="24"/>
          <w:lang w:val="uk-UA"/>
        </w:rPr>
        <w:t>security</w:t>
      </w:r>
      <w:proofErr w:type="spellEnd"/>
      <w:r w:rsidR="00211562" w:rsidRPr="00211562">
        <w:rPr>
          <w:sz w:val="24"/>
          <w:szCs w:val="24"/>
          <w:lang w:val="uk-UA"/>
        </w:rPr>
        <w:t xml:space="preserve">, </w:t>
      </w:r>
      <w:proofErr w:type="spellStart"/>
      <w:r w:rsidR="00211562" w:rsidRPr="00211562">
        <w:rPr>
          <w:sz w:val="24"/>
          <w:szCs w:val="24"/>
          <w:lang w:val="uk-UA"/>
        </w:rPr>
        <w:t>and</w:t>
      </w:r>
      <w:proofErr w:type="spellEnd"/>
      <w:r w:rsidR="00211562" w:rsidRPr="00211562">
        <w:rPr>
          <w:sz w:val="24"/>
          <w:szCs w:val="24"/>
          <w:lang w:val="uk-UA"/>
        </w:rPr>
        <w:t xml:space="preserve"> </w:t>
      </w:r>
      <w:proofErr w:type="spellStart"/>
      <w:r w:rsidR="00211562" w:rsidRPr="00211562">
        <w:rPr>
          <w:sz w:val="24"/>
          <w:szCs w:val="24"/>
          <w:lang w:val="uk-UA"/>
        </w:rPr>
        <w:t>spatial</w:t>
      </w:r>
      <w:proofErr w:type="spellEnd"/>
      <w:r w:rsidR="00211562" w:rsidRPr="00211562">
        <w:rPr>
          <w:sz w:val="24"/>
          <w:szCs w:val="24"/>
          <w:lang w:val="uk-UA"/>
        </w:rPr>
        <w:t xml:space="preserve"> </w:t>
      </w:r>
      <w:proofErr w:type="spellStart"/>
      <w:r w:rsidR="00211562" w:rsidRPr="00211562">
        <w:rPr>
          <w:sz w:val="24"/>
          <w:szCs w:val="24"/>
          <w:lang w:val="uk-UA"/>
        </w:rPr>
        <w:t>dimensions</w:t>
      </w:r>
      <w:proofErr w:type="spellEnd"/>
    </w:p>
    <w:p w14:paraId="62B0755D" w14:textId="0CADB0BF" w:rsidR="00B144FF" w:rsidRPr="00580259" w:rsidRDefault="00000000" w:rsidP="00580259">
      <w:pPr>
        <w:spacing w:after="160"/>
        <w:jc w:val="both"/>
        <w:rPr>
          <w:sz w:val="24"/>
          <w:szCs w:val="24"/>
        </w:rPr>
      </w:pPr>
      <w:r w:rsidRPr="00580259">
        <w:rPr>
          <w:sz w:val="24"/>
          <w:szCs w:val="24"/>
        </w:rPr>
        <w:t>Implementation of Strategic Goal spans several interconnected areas: from spatial planning and demining to rural development, social services, the reintegration of de-occupied territories, and the Danube region.</w:t>
      </w:r>
    </w:p>
    <w:p w14:paraId="26934C6D" w14:textId="77777777" w:rsidR="00B144FF" w:rsidRPr="00580259" w:rsidRDefault="00000000" w:rsidP="00580259">
      <w:pPr>
        <w:pStyle w:val="2"/>
        <w:spacing w:before="250" w:after="120"/>
        <w:jc w:val="both"/>
        <w:rPr>
          <w:sz w:val="24"/>
          <w:szCs w:val="24"/>
        </w:rPr>
      </w:pPr>
      <w:r w:rsidRPr="00580259">
        <w:rPr>
          <w:sz w:val="24"/>
          <w:szCs w:val="24"/>
        </w:rPr>
        <w:t>Operational Goal 1. Ensuring integrated territorial development that reflects the interests of future generations</w:t>
      </w:r>
    </w:p>
    <w:p w14:paraId="7BE7AAB1" w14:textId="77777777" w:rsidR="00B144FF" w:rsidRPr="00580259" w:rsidRDefault="00000000" w:rsidP="00580259">
      <w:pPr>
        <w:spacing w:after="160"/>
        <w:jc w:val="both"/>
        <w:rPr>
          <w:sz w:val="24"/>
          <w:szCs w:val="24"/>
        </w:rPr>
      </w:pPr>
      <w:r w:rsidRPr="00580259">
        <w:rPr>
          <w:b/>
          <w:bCs/>
          <w:sz w:val="24"/>
          <w:szCs w:val="24"/>
        </w:rPr>
        <w:t xml:space="preserve">Stimulating territorial development. </w:t>
      </w:r>
      <w:r w:rsidRPr="00580259">
        <w:rPr>
          <w:sz w:val="24"/>
          <w:szCs w:val="24"/>
        </w:rPr>
        <w:t>One of the key areas remains the development of comprehensive spatial development plans for territorial communities (CSDPs): as of 2025, 8 such plans have been completed, with another 208 at various stages of development. The main obstacle is the limited financial resources of local and oblast budgets; in Poltava oblast the situation is compounded by a shortage of qualified planning organizations, while in Donetsk, Luhansk, Zaporizhzhia, and Kherson oblasts it is the security situation and the occupation of part of the territory.</w:t>
      </w:r>
    </w:p>
    <w:p w14:paraId="018C31E1" w14:textId="77777777" w:rsidR="00B144FF" w:rsidRPr="00580259" w:rsidRDefault="00000000" w:rsidP="00580259">
      <w:pPr>
        <w:spacing w:after="160"/>
        <w:jc w:val="both"/>
        <w:rPr>
          <w:sz w:val="24"/>
          <w:szCs w:val="24"/>
        </w:rPr>
      </w:pPr>
      <w:r w:rsidRPr="00580259">
        <w:rPr>
          <w:sz w:val="24"/>
          <w:szCs w:val="24"/>
        </w:rPr>
        <w:t>In 2025, the bulk of explosive ordnance clearance work was carried out by units of the Ministry of Internal Affairs, while the Ministry of Defence focused on responding to current security needs. Since the start of the full-scale invasion, 74.01 km² of contaminated territory has been identified, of which 4.04 km² has been cleared; defense forces have surveyed 14.63 km² of forest land and 112.39 km² of water areas. State Emergency Service (SESU) units carried out a non-technical survey of nearly 250,000 hectares and cleared 25,500 hectares, while the National Police conducted more than 53,400 call-outs, clearing over 6,300 hectares. The main challenge is re-contamination of territory due to Russian remote mining and cluster munitions. Under the "Humanitarian Demining" programme, as of 27 March 2026, 15,111.9 hectares of agricultural land had been cleared at a cost of UAH 884,409.8 thousand, with compensation paid to 73 producers.</w:t>
      </w:r>
    </w:p>
    <w:p w14:paraId="7A6235AA" w14:textId="77777777" w:rsidR="00B144FF" w:rsidRPr="00580259" w:rsidRDefault="00000000" w:rsidP="00580259">
      <w:pPr>
        <w:spacing w:after="160"/>
        <w:jc w:val="both"/>
        <w:rPr>
          <w:sz w:val="24"/>
          <w:szCs w:val="24"/>
        </w:rPr>
      </w:pPr>
      <w:r w:rsidRPr="00580259">
        <w:rPr>
          <w:sz w:val="24"/>
          <w:szCs w:val="24"/>
        </w:rPr>
        <w:t>The "Determination of functional territorial types" measure is in its final stage: Government resolutions No. 1493 and No. 1686 have been adopted, the composition of the relevant Commission has been updated, territorial modelling has been carried out, and the process of final classification of community types is ongoing.</w:t>
      </w:r>
    </w:p>
    <w:p w14:paraId="24B1AC0D" w14:textId="77777777" w:rsidR="00B144FF" w:rsidRPr="00580259" w:rsidRDefault="00000000" w:rsidP="00580259">
      <w:pPr>
        <w:spacing w:after="160"/>
        <w:jc w:val="both"/>
        <w:rPr>
          <w:sz w:val="24"/>
          <w:szCs w:val="24"/>
        </w:rPr>
      </w:pPr>
      <w:r w:rsidRPr="00580259">
        <w:rPr>
          <w:sz w:val="24"/>
          <w:szCs w:val="24"/>
        </w:rPr>
        <w:t>In the area of rural development support, work continues on building the AKIS system (a conceptual model built around 8 regional hubs, a Coordination Council, and preparation of a digital platform) despite insufficient funding; Phase II of the FSDN pilot project has been implemented in Poltava and Zhytomyr oblasts with the participation of 29 producers.</w:t>
      </w:r>
    </w:p>
    <w:p w14:paraId="4F224650" w14:textId="604BE516" w:rsidR="00B144FF" w:rsidRPr="00580259" w:rsidRDefault="00000000" w:rsidP="00580259">
      <w:pPr>
        <w:spacing w:after="160"/>
        <w:jc w:val="both"/>
        <w:rPr>
          <w:sz w:val="24"/>
          <w:szCs w:val="24"/>
        </w:rPr>
      </w:pPr>
      <w:r w:rsidRPr="00580259">
        <w:rPr>
          <w:sz w:val="24"/>
          <w:szCs w:val="24"/>
        </w:rPr>
        <w:t xml:space="preserve">In the area of access to administrative services, modernization of Administrative Service Centres (ASCs) and the development of mobile formats ("Mobile Administrator," "Mobile ASC") continued; the main challenges are the absence of a state subvention, staff shortages, and the need to settle the issue of the administrative fee. Regarding social services for the rural population, most oblasts have achieved a high level of coverage (in Zakarpattia, Mykolaiv, Rivne, and Zaporizhzhia </w:t>
      </w:r>
      <w:r w:rsidR="00580259">
        <w:rPr>
          <w:sz w:val="24"/>
          <w:szCs w:val="24"/>
        </w:rPr>
        <w:t>–</w:t>
      </w:r>
      <w:r w:rsidRPr="00580259">
        <w:rPr>
          <w:sz w:val="24"/>
          <w:szCs w:val="24"/>
        </w:rPr>
        <w:t>nearly 100</w:t>
      </w:r>
      <w:r w:rsidR="00580259">
        <w:rPr>
          <w:sz w:val="24"/>
          <w:szCs w:val="24"/>
        </w:rPr>
        <w:t xml:space="preserve"> %</w:t>
      </w:r>
      <w:r w:rsidRPr="00580259">
        <w:rPr>
          <w:sz w:val="24"/>
          <w:szCs w:val="24"/>
        </w:rPr>
        <w:t>), with the main challenge being a shortage of qualified staff.</w:t>
      </w:r>
    </w:p>
    <w:p w14:paraId="70F051DD" w14:textId="28611E6B" w:rsidR="00B144FF" w:rsidRPr="00580259" w:rsidRDefault="00000000" w:rsidP="00580259">
      <w:pPr>
        <w:spacing w:after="160"/>
        <w:jc w:val="both"/>
        <w:rPr>
          <w:sz w:val="24"/>
          <w:szCs w:val="24"/>
          <w:lang w:val="uk-UA"/>
        </w:rPr>
      </w:pPr>
      <w:r w:rsidRPr="00580259">
        <w:rPr>
          <w:sz w:val="24"/>
          <w:szCs w:val="24"/>
        </w:rPr>
        <w:lastRenderedPageBreak/>
        <w:t xml:space="preserve">In terms of leveraging the potential of regional growth poles, oblasts focused on taking stock of industrial sites and building databases of investment proposals (Kirovohrad, Ternopil, Cherkasy </w:t>
      </w:r>
      <w:r w:rsidR="00580259">
        <w:rPr>
          <w:sz w:val="24"/>
          <w:szCs w:val="24"/>
        </w:rPr>
        <w:t>–</w:t>
      </w:r>
      <w:r w:rsidRPr="00580259">
        <w:rPr>
          <w:sz w:val="24"/>
          <w:szCs w:val="24"/>
        </w:rPr>
        <w:t xml:space="preserve">greenfield/brownfield sites; Zakarpattia, Lviv, Mykolaiv </w:t>
      </w:r>
      <w:r w:rsidR="00580259">
        <w:rPr>
          <w:sz w:val="24"/>
          <w:szCs w:val="24"/>
        </w:rPr>
        <w:t>–</w:t>
      </w:r>
      <w:r w:rsidRPr="00580259">
        <w:rPr>
          <w:sz w:val="24"/>
          <w:szCs w:val="24"/>
        </w:rPr>
        <w:t>open resources), whereas in Donetsk, Kharkiv, Luhansk, and Kherson oblasts implementation is constrained by the security situation.</w:t>
      </w:r>
      <w:r w:rsidR="00580259">
        <w:rPr>
          <w:sz w:val="24"/>
          <w:szCs w:val="24"/>
          <w:lang w:val="uk-UA"/>
        </w:rPr>
        <w:t xml:space="preserve"> </w:t>
      </w:r>
    </w:p>
    <w:p w14:paraId="4E816D37" w14:textId="59182E00" w:rsidR="00B144FF" w:rsidRPr="00580259" w:rsidRDefault="00000000" w:rsidP="00580259">
      <w:pPr>
        <w:spacing w:after="160"/>
        <w:jc w:val="both"/>
        <w:rPr>
          <w:sz w:val="24"/>
          <w:szCs w:val="24"/>
        </w:rPr>
      </w:pPr>
      <w:r w:rsidRPr="00580259">
        <w:rPr>
          <w:sz w:val="24"/>
          <w:szCs w:val="24"/>
        </w:rPr>
        <w:t>As part of developing the Ukrainian part of the Danube region, 55 measures from the Danube River Basin Management Plan have been incorporated into programme documents, although integration is uneven (46</w:t>
      </w:r>
      <w:r w:rsidR="00580259">
        <w:rPr>
          <w:sz w:val="24"/>
          <w:szCs w:val="24"/>
        </w:rPr>
        <w:t xml:space="preserve"> %</w:t>
      </w:r>
      <w:r w:rsidRPr="00580259">
        <w:rPr>
          <w:sz w:val="24"/>
          <w:szCs w:val="24"/>
        </w:rPr>
        <w:t xml:space="preserve"> in Zakarpattia oblast). The main challenge is insufficient funding (Odesa oblast). Development of the Inland Waterway Transport Development Strategy has not yet begun (deadline: 2026).</w:t>
      </w:r>
    </w:p>
    <w:p w14:paraId="5647C067" w14:textId="77777777" w:rsidR="00B144FF" w:rsidRPr="00580259" w:rsidRDefault="00000000" w:rsidP="00580259">
      <w:pPr>
        <w:spacing w:after="160"/>
        <w:jc w:val="both"/>
        <w:rPr>
          <w:sz w:val="24"/>
          <w:szCs w:val="24"/>
        </w:rPr>
      </w:pPr>
      <w:r w:rsidRPr="00580259">
        <w:rPr>
          <w:b/>
          <w:bCs/>
          <w:sz w:val="24"/>
          <w:szCs w:val="24"/>
        </w:rPr>
        <w:t xml:space="preserve">Reintegration of de-occupied territories. </w:t>
      </w:r>
      <w:r w:rsidRPr="00580259">
        <w:rPr>
          <w:sz w:val="24"/>
          <w:szCs w:val="24"/>
        </w:rPr>
        <w:t>As part of building a personnel reserve, the National Agency of Ukraine on Civil Service (NAUCS) approved a Standard Procedure for working with the personnel reserve of local self-government bodies; the second wave of a youth internship programme has been implemented jointly with the Ministry of Youth and Sports and UNDP. Regarding restoration of the system of public authority, the Cabinet of Ministers approved special features for reforming local self-government under martial law, and the Ministry for Development of Communities and Territories (Ministry of Development) is finalising an action plan for their implementation.</w:t>
      </w:r>
    </w:p>
    <w:p w14:paraId="19AD1F10" w14:textId="760E87A3" w:rsidR="00B144FF" w:rsidRPr="00580259" w:rsidRDefault="00000000" w:rsidP="00580259">
      <w:pPr>
        <w:spacing w:after="160"/>
        <w:jc w:val="both"/>
        <w:rPr>
          <w:sz w:val="24"/>
          <w:szCs w:val="24"/>
        </w:rPr>
      </w:pPr>
      <w:r w:rsidRPr="00580259">
        <w:rPr>
          <w:sz w:val="24"/>
          <w:szCs w:val="24"/>
        </w:rPr>
        <w:t>Restoration of basic municipal services is proceeding actively: Kyiv, Zhytomyr, and Mykolaiv oblasts have fully restored the operation of ASCs; in Kharkiv oblast the number of access points has grown by 178</w:t>
      </w:r>
      <w:r w:rsidR="00580259">
        <w:rPr>
          <w:sz w:val="24"/>
          <w:szCs w:val="24"/>
        </w:rPr>
        <w:t xml:space="preserve"> %</w:t>
      </w:r>
      <w:r w:rsidRPr="00580259">
        <w:rPr>
          <w:sz w:val="24"/>
          <w:szCs w:val="24"/>
        </w:rPr>
        <w:t xml:space="preserve"> compared to the pre-war period; in Kherson oblast, 17 ASCs have been restored and 102 registry access points created. At the same time, in frontline regions restoration depends on the security situation.</w:t>
      </w:r>
    </w:p>
    <w:p w14:paraId="218D7504" w14:textId="77777777" w:rsidR="00B144FF" w:rsidRPr="00580259" w:rsidRDefault="00000000" w:rsidP="00580259">
      <w:pPr>
        <w:spacing w:after="160"/>
        <w:jc w:val="both"/>
        <w:rPr>
          <w:sz w:val="24"/>
          <w:szCs w:val="24"/>
        </w:rPr>
      </w:pPr>
      <w:r w:rsidRPr="00580259">
        <w:rPr>
          <w:sz w:val="24"/>
          <w:szCs w:val="24"/>
        </w:rPr>
        <w:t>With regard to the economic and social adaptation of the population of de-occupied territories, in Luhansk oblast implementation of this measure has not yet begun, in Donetsk oblast it is significantly constrained by hostilities, while Mykolaiv, Kyiv, and Kharkiv oblasts are implementing comprehensive support programmes (in particular, Kharkiv oblast has provided social services to more than 46,000 people). Regarding integration into the Ukrainian information space, broadcasting of "Army FM" radio is being expanded in six oblasts; the measure on ensuring audiovisual media broadcasting has not yet begun. In the area of mental reintegration, the State Labour Service has conducted more than 13,300 information events (reaching almost 194,500 people), and 1,047 employers have introduced a corresponding psychosocial support policy.</w:t>
      </w:r>
    </w:p>
    <w:p w14:paraId="4ACEE9E0" w14:textId="77777777" w:rsidR="00B144FF" w:rsidRPr="00580259" w:rsidRDefault="00000000" w:rsidP="00580259">
      <w:pPr>
        <w:spacing w:after="160"/>
        <w:jc w:val="both"/>
        <w:rPr>
          <w:sz w:val="24"/>
          <w:szCs w:val="24"/>
        </w:rPr>
      </w:pPr>
      <w:r w:rsidRPr="00580259">
        <w:rPr>
          <w:b/>
          <w:bCs/>
          <w:sz w:val="24"/>
          <w:szCs w:val="24"/>
        </w:rPr>
        <w:t xml:space="preserve">Environmental protection. </w:t>
      </w:r>
      <w:r w:rsidRPr="00580259">
        <w:rPr>
          <w:sz w:val="24"/>
          <w:szCs w:val="24"/>
        </w:rPr>
        <w:t>A study to assess the damage caused by the destruction of the Kakhovka Hydroelectric Power Plant has not yet begun (the deadline has not yet arrived); likewise, the measure concerning the Chornobyl Reserve has not yet begun (deadline: 2027). Regarding the modernization of hydrometeorological observation systems, SESU carried out modernization worth UAH 148.6 million, and 4 water-monitoring laboratories have been accredited; the main challenge is insufficient funding of the National Programme for the Development of the Mineral Resource Base. In the area of marine ecosystems, on 13 May 2025 draft law No. 12384 on stimulating the development of the fisheries sector was adopted as a basis.</w:t>
      </w:r>
    </w:p>
    <w:p w14:paraId="7EEF24E4" w14:textId="77777777" w:rsidR="00B144FF" w:rsidRPr="00580259" w:rsidRDefault="00000000" w:rsidP="00580259">
      <w:pPr>
        <w:spacing w:after="160"/>
        <w:jc w:val="both"/>
        <w:rPr>
          <w:sz w:val="24"/>
          <w:szCs w:val="24"/>
        </w:rPr>
      </w:pPr>
      <w:r w:rsidRPr="00580259">
        <w:rPr>
          <w:sz w:val="24"/>
          <w:szCs w:val="24"/>
        </w:rPr>
        <w:t xml:space="preserve">Under the "Large-Scale Afforestation of Ukraine" initiative, reforestation has been carried out on 18,100 hectares (11,300 hectares of forest plantations and 6,800 hectares of natural regeneration), part of the target of 26,000 hectares by 2027. A methodology for classifying land as self-afforested has not yet been developed, although the process of classifying land in this category has begun in </w:t>
      </w:r>
      <w:r w:rsidRPr="00580259">
        <w:rPr>
          <w:sz w:val="24"/>
          <w:szCs w:val="24"/>
        </w:rPr>
        <w:lastRenderedPageBreak/>
        <w:t>most oblasts (the greatest progress is in Vinnytsia, Kyiv, Zaporizhzhia, Rivne, Khmelnytskyi, Cherkasy, and Zhytomyr oblasts); the main challenges are the absence of an approved methodology, communities' reluctance to transfer land, and the security situation in frontline territories. Similarly, work has begun on assigning linear protective plantations to permanent users (the greatest progress is in Vinnytsia, Zaporizhzhia, Ternopil, Cherkasy, and Chernihiv oblasts).</w:t>
      </w:r>
    </w:p>
    <w:p w14:paraId="37673BF6" w14:textId="77777777" w:rsidR="00B144FF" w:rsidRPr="00580259" w:rsidRDefault="00000000" w:rsidP="00580259">
      <w:pPr>
        <w:pStyle w:val="2"/>
        <w:spacing w:before="250" w:after="120"/>
        <w:jc w:val="both"/>
        <w:rPr>
          <w:sz w:val="24"/>
          <w:szCs w:val="24"/>
        </w:rPr>
      </w:pPr>
      <w:r w:rsidRPr="00580259">
        <w:rPr>
          <w:sz w:val="24"/>
          <w:szCs w:val="24"/>
        </w:rPr>
        <w:t>Operational Goal 2. Meeting the population's need for quality administrative and public services</w:t>
      </w:r>
    </w:p>
    <w:p w14:paraId="0E740CE2" w14:textId="77D6079B" w:rsidR="00B144FF" w:rsidRPr="00580259" w:rsidRDefault="00000000" w:rsidP="00580259">
      <w:pPr>
        <w:spacing w:after="160"/>
        <w:jc w:val="both"/>
        <w:rPr>
          <w:sz w:val="24"/>
          <w:szCs w:val="24"/>
        </w:rPr>
      </w:pPr>
      <w:r w:rsidRPr="00580259">
        <w:rPr>
          <w:b/>
          <w:bCs/>
          <w:sz w:val="24"/>
          <w:szCs w:val="24"/>
        </w:rPr>
        <w:t xml:space="preserve">Educational services. </w:t>
      </w:r>
      <w:r w:rsidRPr="00580259">
        <w:rPr>
          <w:sz w:val="24"/>
          <w:szCs w:val="24"/>
        </w:rPr>
        <w:t>As of 1 March 2026, 4,286 safety classrooms have been created (target</w:t>
      </w:r>
      <w:r w:rsidR="00CF6387">
        <w:rPr>
          <w:sz w:val="24"/>
          <w:szCs w:val="24"/>
        </w:rPr>
        <w:t xml:space="preserve"> </w:t>
      </w:r>
      <w:r w:rsidR="00CF6387">
        <w:rPr>
          <w:sz w:val="24"/>
          <w:szCs w:val="24"/>
        </w:rPr>
        <w:t>–</w:t>
      </w:r>
      <w:r w:rsidRPr="00580259">
        <w:rPr>
          <w:sz w:val="24"/>
          <w:szCs w:val="24"/>
        </w:rPr>
        <w:t xml:space="preserve"> 4,500). Under the UAH 6.2 billion subvention for equipping schools with protective structures, 139 projects have been financed, and 51 facilities have been completed (69</w:t>
      </w:r>
      <w:r w:rsidR="00580259">
        <w:rPr>
          <w:sz w:val="24"/>
          <w:szCs w:val="24"/>
        </w:rPr>
        <w:t xml:space="preserve"> %</w:t>
      </w:r>
      <w:r w:rsidRPr="00580259">
        <w:rPr>
          <w:sz w:val="24"/>
          <w:szCs w:val="24"/>
        </w:rPr>
        <w:t xml:space="preserve"> utilisation of funds).</w:t>
      </w:r>
    </w:p>
    <w:p w14:paraId="151EFCA4" w14:textId="77777777" w:rsidR="00B144FF" w:rsidRPr="00580259" w:rsidRDefault="00000000" w:rsidP="00580259">
      <w:pPr>
        <w:spacing w:after="160"/>
        <w:jc w:val="both"/>
        <w:rPr>
          <w:sz w:val="24"/>
          <w:szCs w:val="24"/>
        </w:rPr>
      </w:pPr>
      <w:r w:rsidRPr="00580259">
        <w:rPr>
          <w:sz w:val="24"/>
          <w:szCs w:val="24"/>
        </w:rPr>
        <w:t>Establishment of centres of professional excellence continues with support from EU4Skills, KfW, the EIB, and Enabel: in 2025, 71 training-and-practice centres were created, 108 digital education centres were opened, a total of 284,506 units of computer equipment were delivered, 153,544 teachers completed digital competency courses, and 535 school buses were purchased (374 specially equipped). The Ministry of Economy established supervisory boards at 8 vocational education centres; the Concept for Career Guidance for 2025–2030 has been approved. Establishing a network of career centres and promoting working professions through social advertising have not yet begun (deadlines have not yet arrived).</w:t>
      </w:r>
    </w:p>
    <w:p w14:paraId="60CEDE71" w14:textId="276F672E" w:rsidR="00B144FF" w:rsidRPr="00580259" w:rsidRDefault="00000000" w:rsidP="00580259">
      <w:pPr>
        <w:spacing w:after="160"/>
        <w:jc w:val="both"/>
        <w:rPr>
          <w:sz w:val="24"/>
          <w:szCs w:val="24"/>
        </w:rPr>
      </w:pPr>
      <w:r w:rsidRPr="00580259">
        <w:rPr>
          <w:sz w:val="24"/>
          <w:szCs w:val="24"/>
        </w:rPr>
        <w:t>Out-of-school education is developing: 3,160 junior rescuer-firefighter units have been created (268 of them demonstration units); youth engagement in sports schools (8.3</w:t>
      </w:r>
      <w:r w:rsidR="00580259">
        <w:rPr>
          <w:sz w:val="24"/>
          <w:szCs w:val="24"/>
        </w:rPr>
        <w:t xml:space="preserve"> %</w:t>
      </w:r>
      <w:r w:rsidRPr="00580259">
        <w:rPr>
          <w:sz w:val="24"/>
          <w:szCs w:val="24"/>
        </w:rPr>
        <w:t>) exceeded the target (7.5</w:t>
      </w:r>
      <w:r w:rsidR="00580259">
        <w:rPr>
          <w:sz w:val="24"/>
          <w:szCs w:val="24"/>
        </w:rPr>
        <w:t xml:space="preserve"> %</w:t>
      </w:r>
      <w:r w:rsidRPr="00580259">
        <w:rPr>
          <w:sz w:val="24"/>
          <w:szCs w:val="24"/>
        </w:rPr>
        <w:t>); coverage by primary arts education rose to 7.4</w:t>
      </w:r>
      <w:r w:rsidR="00580259">
        <w:rPr>
          <w:sz w:val="24"/>
          <w:szCs w:val="24"/>
        </w:rPr>
        <w:t xml:space="preserve"> %</w:t>
      </w:r>
      <w:r w:rsidRPr="00580259">
        <w:rPr>
          <w:sz w:val="24"/>
          <w:szCs w:val="24"/>
        </w:rPr>
        <w:t xml:space="preserve"> (target: 8</w:t>
      </w:r>
      <w:r w:rsidR="00580259">
        <w:rPr>
          <w:sz w:val="24"/>
          <w:szCs w:val="24"/>
        </w:rPr>
        <w:t xml:space="preserve"> %</w:t>
      </w:r>
      <w:r w:rsidRPr="00580259">
        <w:rPr>
          <w:sz w:val="24"/>
          <w:szCs w:val="24"/>
        </w:rPr>
        <w:t>) the shortfall attributable to wartime factors.</w:t>
      </w:r>
    </w:p>
    <w:p w14:paraId="7B387E19" w14:textId="7F516220" w:rsidR="00B144FF" w:rsidRPr="00580259" w:rsidRDefault="00000000" w:rsidP="00580259">
      <w:pPr>
        <w:spacing w:after="160"/>
        <w:jc w:val="both"/>
        <w:rPr>
          <w:sz w:val="24"/>
          <w:szCs w:val="24"/>
        </w:rPr>
      </w:pPr>
      <w:r w:rsidRPr="00580259">
        <w:rPr>
          <w:b/>
          <w:bCs/>
          <w:sz w:val="24"/>
          <w:szCs w:val="24"/>
        </w:rPr>
        <w:t xml:space="preserve">Social services and building an inclusive society. </w:t>
      </w:r>
      <w:r w:rsidRPr="00580259">
        <w:rPr>
          <w:sz w:val="24"/>
          <w:szCs w:val="24"/>
        </w:rPr>
        <w:t>In the area of social services, the Ministry of Social Policy continued implementing a pilot project introducing a comprehensive social service for building resilience in territorial communities: the number of participating communities grew by 40</w:t>
      </w:r>
      <w:r w:rsidR="00580259">
        <w:rPr>
          <w:sz w:val="24"/>
          <w:szCs w:val="24"/>
        </w:rPr>
        <w:t xml:space="preserve">  %</w:t>
      </w:r>
      <w:r w:rsidRPr="00580259">
        <w:rPr>
          <w:sz w:val="24"/>
          <w:szCs w:val="24"/>
        </w:rPr>
        <w:t xml:space="preserve"> against a 15</w:t>
      </w:r>
      <w:r w:rsidR="00580259">
        <w:rPr>
          <w:sz w:val="24"/>
          <w:szCs w:val="24"/>
        </w:rPr>
        <w:t xml:space="preserve"> %</w:t>
      </w:r>
      <w:r w:rsidRPr="00580259">
        <w:rPr>
          <w:sz w:val="24"/>
          <w:szCs w:val="24"/>
        </w:rPr>
        <w:t xml:space="preserve"> target, and 122 new resilience centres were created. State budget funding in 2025 grew by 44.6</w:t>
      </w:r>
      <w:r w:rsidR="00580259">
        <w:rPr>
          <w:sz w:val="24"/>
          <w:szCs w:val="24"/>
        </w:rPr>
        <w:t xml:space="preserve"> %</w:t>
      </w:r>
      <w:r w:rsidRPr="00580259">
        <w:rPr>
          <w:sz w:val="24"/>
          <w:szCs w:val="24"/>
        </w:rPr>
        <w:t xml:space="preserve"> compared to 2024; 9 communities formed teams outside the competitive process using local budget funds; more than 350 premises inspections and over 560 legal-compliance checks of service delivery were carried out.</w:t>
      </w:r>
    </w:p>
    <w:p w14:paraId="414A783F" w14:textId="05342937" w:rsidR="00B144FF" w:rsidRPr="00580259" w:rsidRDefault="00000000" w:rsidP="00580259">
      <w:pPr>
        <w:spacing w:after="160"/>
        <w:jc w:val="both"/>
        <w:rPr>
          <w:sz w:val="24"/>
          <w:szCs w:val="24"/>
        </w:rPr>
      </w:pPr>
      <w:r w:rsidRPr="00580259">
        <w:rPr>
          <w:sz w:val="24"/>
          <w:szCs w:val="24"/>
        </w:rPr>
        <w:t>In parallel, the Ministry of Social Policy and the National Social Service continued implementing the "money follows the person" project: the number of communities joining the pilot of the supported-living service grew by 60</w:t>
      </w:r>
      <w:r w:rsidR="00580259">
        <w:rPr>
          <w:sz w:val="24"/>
          <w:szCs w:val="24"/>
        </w:rPr>
        <w:t xml:space="preserve"> %</w:t>
      </w:r>
      <w:r w:rsidRPr="00580259">
        <w:rPr>
          <w:sz w:val="24"/>
          <w:szCs w:val="24"/>
        </w:rPr>
        <w:t xml:space="preserve"> against a 15</w:t>
      </w:r>
      <w:r w:rsidR="00580259">
        <w:rPr>
          <w:sz w:val="24"/>
          <w:szCs w:val="24"/>
        </w:rPr>
        <w:t xml:space="preserve"> %</w:t>
      </w:r>
      <w:r w:rsidRPr="00580259">
        <w:rPr>
          <w:sz w:val="24"/>
          <w:szCs w:val="24"/>
        </w:rPr>
        <w:t xml:space="preserve"> target. As of March 2026, agreements had been concluded with 707 individuals (345 for residential care, 362 for supported living), 1,056 bed-places had been created, 43 social service providers had been added to the roster of participants, and 32 legal-compliance monitoring activities had been carried out.</w:t>
      </w:r>
    </w:p>
    <w:p w14:paraId="60F3E9C4" w14:textId="1519A416" w:rsidR="00B144FF" w:rsidRPr="00580259" w:rsidRDefault="00000000" w:rsidP="00580259">
      <w:pPr>
        <w:spacing w:after="160"/>
        <w:jc w:val="both"/>
        <w:rPr>
          <w:sz w:val="24"/>
          <w:szCs w:val="24"/>
        </w:rPr>
      </w:pPr>
      <w:r w:rsidRPr="00580259">
        <w:rPr>
          <w:sz w:val="24"/>
          <w:szCs w:val="24"/>
        </w:rPr>
        <w:t>Regarding the creation of a barrier-free environment, the Ministry of Development carried out its annual monitoring, surveying 76,600 physical-environment and service facilities (against a target of at least 60</w:t>
      </w:r>
      <w:r w:rsidR="00580259">
        <w:rPr>
          <w:sz w:val="24"/>
          <w:szCs w:val="24"/>
        </w:rPr>
        <w:t xml:space="preserve"> %</w:t>
      </w:r>
      <w:r w:rsidRPr="00580259">
        <w:rPr>
          <w:sz w:val="24"/>
          <w:szCs w:val="24"/>
        </w:rPr>
        <w:t>), also covering private-sector facilities. Based on the assessment, 8.5</w:t>
      </w:r>
      <w:r w:rsidR="00580259">
        <w:rPr>
          <w:sz w:val="24"/>
          <w:szCs w:val="24"/>
        </w:rPr>
        <w:t xml:space="preserve"> %</w:t>
      </w:r>
      <w:r w:rsidRPr="00580259">
        <w:rPr>
          <w:sz w:val="24"/>
          <w:szCs w:val="24"/>
        </w:rPr>
        <w:t xml:space="preserve"> of facilities were found to be barrier-free, 17</w:t>
      </w:r>
      <w:r w:rsidR="00580259">
        <w:rPr>
          <w:sz w:val="24"/>
          <w:szCs w:val="24"/>
          <w:lang w:val="uk-UA"/>
        </w:rPr>
        <w:t xml:space="preserve"> </w:t>
      </w:r>
      <w:r w:rsidR="00580259">
        <w:rPr>
          <w:sz w:val="24"/>
          <w:szCs w:val="24"/>
        </w:rPr>
        <w:t>%</w:t>
      </w:r>
      <w:r w:rsidRPr="00580259">
        <w:rPr>
          <w:sz w:val="24"/>
          <w:szCs w:val="24"/>
        </w:rPr>
        <w:t xml:space="preserve"> partially barrier-free, and 74.5</w:t>
      </w:r>
      <w:r w:rsidR="00580259">
        <w:rPr>
          <w:sz w:val="24"/>
          <w:szCs w:val="24"/>
        </w:rPr>
        <w:t xml:space="preserve"> %</w:t>
      </w:r>
      <w:r w:rsidRPr="00580259">
        <w:rPr>
          <w:sz w:val="24"/>
          <w:szCs w:val="24"/>
        </w:rPr>
        <w:t xml:space="preserve"> not barrier-free. The highest level of accessibility was recorded in healthcare facilities, ASCs, pharmacies, and filling stations.</w:t>
      </w:r>
    </w:p>
    <w:p w14:paraId="085BFF17" w14:textId="63833B56" w:rsidR="00B144FF" w:rsidRPr="00580259" w:rsidRDefault="00000000" w:rsidP="00580259">
      <w:pPr>
        <w:spacing w:after="160"/>
        <w:jc w:val="both"/>
        <w:rPr>
          <w:sz w:val="24"/>
          <w:szCs w:val="24"/>
        </w:rPr>
      </w:pPr>
      <w:r w:rsidRPr="00580259">
        <w:rPr>
          <w:sz w:val="24"/>
          <w:szCs w:val="24"/>
        </w:rPr>
        <w:t xml:space="preserve">In the area of combating human trafficking, domestic violence, and gender-based violence, four measures were implemented. With support from international partners, the Ministry of Internal Affairs conducted 17 training sessions for 425 police officers on sexual harassment, 11 specialised </w:t>
      </w:r>
      <w:r w:rsidRPr="00580259">
        <w:rPr>
          <w:sz w:val="24"/>
          <w:szCs w:val="24"/>
        </w:rPr>
        <w:lastRenderedPageBreak/>
        <w:t xml:space="preserve">events for investigative units on domestic violence and gender equality (in Ukraine and abroad </w:t>
      </w:r>
      <w:r w:rsidR="00580259">
        <w:rPr>
          <w:sz w:val="24"/>
          <w:szCs w:val="24"/>
        </w:rPr>
        <w:t>–</w:t>
      </w:r>
      <w:r w:rsidRPr="00580259">
        <w:rPr>
          <w:sz w:val="24"/>
          <w:szCs w:val="24"/>
        </w:rPr>
        <w:t>Romania, France), and 37 training sessions for 644 preventive-police officers with the assistance of UNFPA, UN Women, and Gender Associations; similar events are being held at specialised internal-affairs universities. The Ministry of Social Policy, together with the UN Population Fund, began drafting a regulatory act on a case-management mechanism for survivors of domestic and gender-based violence. Contact information on specialised support services for survivors has been collected and compiled, forming the basis of an interactive map now being tested prior to full deployment. A draft order of the Ministry of Social Policy on methodological recommendations for applying criteria to identify victims of human trafficking has also been prepared and is being cleared within the ministry's structural units.</w:t>
      </w:r>
    </w:p>
    <w:p w14:paraId="4C55C4A3" w14:textId="77777777" w:rsidR="00B144FF" w:rsidRPr="00580259" w:rsidRDefault="00000000" w:rsidP="00580259">
      <w:pPr>
        <w:spacing w:after="160"/>
        <w:jc w:val="both"/>
        <w:rPr>
          <w:sz w:val="24"/>
          <w:szCs w:val="24"/>
        </w:rPr>
      </w:pPr>
      <w:r w:rsidRPr="00580259">
        <w:rPr>
          <w:sz w:val="24"/>
          <w:szCs w:val="24"/>
        </w:rPr>
        <w:t>Regarding the creation of conditions for equal rights and opportunities for women and men, most oblasts operate or are updating oblast-level comprehensive/targeted programmes on gender equality, prevention of domestic violence, and combating human trafficking (including in Vinnytsia, Donetsk, Zhytomyr, Zakarpattia, Kyiv, Mykolaiv, Odesa, Sumy, Khmelnytskyi, and other oblasts). Ternopil and Kharkiv oblasts are postponing the development of regional programmes until martial law ends, pursuant to Cabinet of Ministers order No. 439-r of 2 May 2025; in Cherkasy oblast no local programmes were approved in 2025; Rivne and Chernivtsi oblasts approved operational plans for implementing the State Strategy for Ensuring Equal Rights and Opportunities for Women and Men through 2030.</w:t>
      </w:r>
    </w:p>
    <w:p w14:paraId="11656C4C" w14:textId="520310C7" w:rsidR="00B144FF" w:rsidRPr="00580259" w:rsidRDefault="00000000" w:rsidP="00580259">
      <w:pPr>
        <w:spacing w:after="160"/>
        <w:jc w:val="both"/>
        <w:rPr>
          <w:sz w:val="24"/>
          <w:szCs w:val="24"/>
        </w:rPr>
      </w:pPr>
      <w:r w:rsidRPr="00580259">
        <w:rPr>
          <w:sz w:val="24"/>
          <w:szCs w:val="24"/>
        </w:rPr>
        <w:t>In the area of developing physical culture and sport at the level of territorial communities, the Ministry of Youth and Sports analysed the provision of sports facilities: according to 2024 data, the accessibility of sports infrastructure for all population groups stood at 36</w:t>
      </w:r>
      <w:r w:rsidR="00580259">
        <w:rPr>
          <w:sz w:val="24"/>
          <w:szCs w:val="24"/>
        </w:rPr>
        <w:t xml:space="preserve"> %</w:t>
      </w:r>
      <w:r w:rsidRPr="00580259">
        <w:rPr>
          <w:sz w:val="24"/>
          <w:szCs w:val="24"/>
        </w:rPr>
        <w:t>, against a target of annual growth of at least 1</w:t>
      </w:r>
      <w:r w:rsidR="00580259">
        <w:rPr>
          <w:sz w:val="24"/>
          <w:szCs w:val="24"/>
          <w:lang w:val="uk-UA"/>
        </w:rPr>
        <w:t xml:space="preserve"> </w:t>
      </w:r>
      <w:r w:rsidRPr="00580259">
        <w:rPr>
          <w:sz w:val="24"/>
          <w:szCs w:val="24"/>
        </w:rPr>
        <w:t xml:space="preserve">%. 1,360 national competitions were held (741 in Olympic and 619 in non-Olympic sports) involving more than 348,000 athletes, well above the target (at least 5 competitions per year). The National Olympic Committee held more than 15 national information and awareness events (#OlympicLab, "DoLikeOlympians," Olympic Week, seminars for coaches, referees, and journalists, a Forum on Gender Equality in Sport, and others) with a total of over 1.5 million participants </w:t>
      </w:r>
      <w:r w:rsidR="00580259">
        <w:rPr>
          <w:sz w:val="24"/>
          <w:szCs w:val="24"/>
        </w:rPr>
        <w:t>–</w:t>
      </w:r>
      <w:r w:rsidRPr="00580259">
        <w:rPr>
          <w:sz w:val="24"/>
          <w:szCs w:val="24"/>
        </w:rPr>
        <w:t>exceeding the target (at least 2 events per year).</w:t>
      </w:r>
    </w:p>
    <w:p w14:paraId="7AF8533B" w14:textId="6A37CD5A" w:rsidR="00B144FF" w:rsidRPr="00580259" w:rsidRDefault="00000000" w:rsidP="00580259">
      <w:pPr>
        <w:spacing w:after="160"/>
        <w:jc w:val="both"/>
        <w:rPr>
          <w:sz w:val="24"/>
          <w:szCs w:val="24"/>
        </w:rPr>
      </w:pPr>
      <w:r w:rsidRPr="00580259">
        <w:rPr>
          <w:sz w:val="24"/>
          <w:szCs w:val="24"/>
        </w:rPr>
        <w:t xml:space="preserve">Regarding the involvement of persons and children with disabilities, including those who became disabled as a result of Russia's armed aggression, in sports, the "Invasport" Ukrainian Centre held the finals of the 32nd "Believe in Yourself" Spartakiad across 22 sports, involving 532 children in the finals and more than 4,000 children at all stages, with 924 awards presented </w:t>
      </w:r>
      <w:r w:rsidR="00580259">
        <w:rPr>
          <w:sz w:val="24"/>
          <w:szCs w:val="24"/>
        </w:rPr>
        <w:t>–</w:t>
      </w:r>
      <w:r w:rsidRPr="00580259">
        <w:rPr>
          <w:sz w:val="24"/>
          <w:szCs w:val="24"/>
        </w:rPr>
        <w:t xml:space="preserve">meeting the target (at least 10 competitions per year). In addition, 59 national sports competitions were organised for persons with disabilities of various categories, along with 35 rehabilitation-and-sports camps (18,062 attendances) and 285 training camps, including preparation for the 2025 Deaflympics and the 2026 Paralympic Games </w:t>
      </w:r>
      <w:r w:rsidR="00580259">
        <w:rPr>
          <w:sz w:val="24"/>
          <w:szCs w:val="24"/>
        </w:rPr>
        <w:t>–</w:t>
      </w:r>
      <w:r w:rsidRPr="00580259">
        <w:rPr>
          <w:sz w:val="24"/>
          <w:szCs w:val="24"/>
        </w:rPr>
        <w:t>the targets (35 competitions, 156 training camps, and 35 rehabilitation-and-sports camps per year) were exceeded.</w:t>
      </w:r>
    </w:p>
    <w:p w14:paraId="239E0468" w14:textId="677A22E9" w:rsidR="00B144FF" w:rsidRPr="00580259" w:rsidRDefault="00000000" w:rsidP="00580259">
      <w:pPr>
        <w:spacing w:after="160"/>
        <w:jc w:val="both"/>
        <w:rPr>
          <w:sz w:val="24"/>
          <w:szCs w:val="24"/>
        </w:rPr>
      </w:pPr>
      <w:r w:rsidRPr="00580259">
        <w:rPr>
          <w:sz w:val="24"/>
          <w:szCs w:val="24"/>
        </w:rPr>
        <w:t xml:space="preserve">In the area of youth development and self-realisation, the Ministry of Youth and Sports conducted 2 training sessions for youth advisory bodies in Rivne and Ternopil oblasts (40 people each) and an All-Ukrainian summary forum in Ivano-Frankivsk (200 people) </w:t>
      </w:r>
      <w:r w:rsidR="00580259">
        <w:rPr>
          <w:sz w:val="24"/>
          <w:szCs w:val="24"/>
        </w:rPr>
        <w:t>–</w:t>
      </w:r>
      <w:r w:rsidRPr="00580259">
        <w:rPr>
          <w:sz w:val="24"/>
          <w:szCs w:val="24"/>
        </w:rPr>
        <w:t xml:space="preserve">meeting the target (at least 3 events). Ukraine has 664 youth councils in operation (624 at the local level, 29 at the regional level, and 11 at the national level) with a total of 10,893 members, including IDPs, persons with disabilities, veterans, and representatives of national minorities. Regarding civic education, three national training sessions were held for representatives of youth and children's civil-society </w:t>
      </w:r>
      <w:r w:rsidRPr="00580259">
        <w:rPr>
          <w:sz w:val="24"/>
          <w:szCs w:val="24"/>
        </w:rPr>
        <w:lastRenderedPageBreak/>
        <w:t xml:space="preserve">organisations on working with young people amid war (Kyiv, Ternopil, Rivne, 30 people each) </w:t>
      </w:r>
      <w:r w:rsidR="00580259">
        <w:rPr>
          <w:sz w:val="24"/>
          <w:szCs w:val="24"/>
        </w:rPr>
        <w:t>–</w:t>
      </w:r>
      <w:r w:rsidRPr="00580259">
        <w:rPr>
          <w:sz w:val="24"/>
          <w:szCs w:val="24"/>
        </w:rPr>
        <w:t xml:space="preserve">meeting the target; under the "Youth Worker" programme, 50 basic training sessions were held (964 graduates) and 14 specialised sessions (275 graduates) </w:t>
      </w:r>
      <w:r w:rsidR="00580259">
        <w:rPr>
          <w:sz w:val="24"/>
          <w:szCs w:val="24"/>
        </w:rPr>
        <w:t>–</w:t>
      </w:r>
      <w:r w:rsidRPr="00580259">
        <w:rPr>
          <w:sz w:val="24"/>
          <w:szCs w:val="24"/>
        </w:rPr>
        <w:t>significantly exceeding the target (at least 280 specialists).</w:t>
      </w:r>
    </w:p>
    <w:p w14:paraId="001BDAEF" w14:textId="30980762" w:rsidR="00B144FF" w:rsidRPr="00580259" w:rsidRDefault="00000000" w:rsidP="00580259">
      <w:pPr>
        <w:spacing w:after="160"/>
        <w:jc w:val="both"/>
        <w:rPr>
          <w:sz w:val="24"/>
          <w:szCs w:val="24"/>
        </w:rPr>
      </w:pPr>
      <w:r w:rsidRPr="00580259">
        <w:rPr>
          <w:sz w:val="24"/>
          <w:szCs w:val="24"/>
        </w:rPr>
        <w:t xml:space="preserve">In the area of engaging youth in volunteering, two national training sessions were held in Kyiv for representatives of organisations that engage volunteers, training 60 specialists </w:t>
      </w:r>
      <w:r w:rsidR="00580259">
        <w:rPr>
          <w:sz w:val="24"/>
          <w:szCs w:val="24"/>
        </w:rPr>
        <w:t>–</w:t>
      </w:r>
      <w:r w:rsidRPr="00580259">
        <w:rPr>
          <w:sz w:val="24"/>
          <w:szCs w:val="24"/>
        </w:rPr>
        <w:t xml:space="preserve">meeting the target. Regarding the development of youth centres, three national workshop-training sessions were held (24 November–3 December 2025, 53 participants) </w:t>
      </w:r>
      <w:r w:rsidR="00580259">
        <w:rPr>
          <w:sz w:val="24"/>
          <w:szCs w:val="24"/>
        </w:rPr>
        <w:t>–</w:t>
      </w:r>
      <w:r w:rsidRPr="00580259">
        <w:rPr>
          <w:sz w:val="24"/>
          <w:szCs w:val="24"/>
        </w:rPr>
        <w:t xml:space="preserve">meeting the target. As of February 2026, 643 youth centres and spaces are operating in Ukraine (114 centres, 529 spaces), while 107 have ceased operations. 147 youth-infrastructure facilities have been damaged, worth more than UAH 270.4 million: 40 completely destroyed, 28 damaged, and 79 occupied </w:t>
      </w:r>
      <w:r w:rsidR="00580259">
        <w:rPr>
          <w:sz w:val="24"/>
          <w:szCs w:val="24"/>
        </w:rPr>
        <w:t>–</w:t>
      </w:r>
      <w:r w:rsidR="001C5604">
        <w:rPr>
          <w:sz w:val="24"/>
          <w:szCs w:val="24"/>
        </w:rPr>
        <w:t xml:space="preserve"> </w:t>
      </w:r>
      <w:r w:rsidRPr="00580259">
        <w:rPr>
          <w:sz w:val="24"/>
          <w:szCs w:val="24"/>
        </w:rPr>
        <w:t>predominantly in Donetsk, Luhansk, and Kherson oblasts.</w:t>
      </w:r>
    </w:p>
    <w:p w14:paraId="47AAAB6F" w14:textId="2771A9BF" w:rsidR="00B144FF" w:rsidRPr="00580259" w:rsidRDefault="00000000" w:rsidP="00580259">
      <w:pPr>
        <w:spacing w:after="160"/>
        <w:jc w:val="both"/>
        <w:rPr>
          <w:sz w:val="24"/>
          <w:szCs w:val="24"/>
        </w:rPr>
      </w:pPr>
      <w:r w:rsidRPr="00580259">
        <w:rPr>
          <w:b/>
          <w:bCs/>
          <w:sz w:val="24"/>
          <w:szCs w:val="24"/>
        </w:rPr>
        <w:t xml:space="preserve">Cultural services and national identity. </w:t>
      </w:r>
      <w:r w:rsidRPr="00580259">
        <w:rPr>
          <w:sz w:val="24"/>
          <w:szCs w:val="24"/>
        </w:rPr>
        <w:t xml:space="preserve">Work continues on creating new models of cultural institutions; the classifier of professions has been supplemented with the position of "head of a cultural-services centre." Computerisation of libraries is uneven </w:t>
      </w:r>
      <w:r w:rsidR="00580259">
        <w:rPr>
          <w:sz w:val="24"/>
          <w:szCs w:val="24"/>
        </w:rPr>
        <w:t>–</w:t>
      </w:r>
      <w:r w:rsidRPr="00580259">
        <w:rPr>
          <w:sz w:val="24"/>
          <w:szCs w:val="24"/>
        </w:rPr>
        <w:t>ranging from 35.2</w:t>
      </w:r>
      <w:r w:rsidR="00580259">
        <w:rPr>
          <w:sz w:val="24"/>
          <w:szCs w:val="24"/>
        </w:rPr>
        <w:t xml:space="preserve"> %</w:t>
      </w:r>
      <w:r w:rsidRPr="00580259">
        <w:rPr>
          <w:sz w:val="24"/>
          <w:szCs w:val="24"/>
        </w:rPr>
        <w:t xml:space="preserve"> in Chernihiv oblast to 79.6</w:t>
      </w:r>
      <w:r w:rsidR="00580259">
        <w:rPr>
          <w:sz w:val="24"/>
          <w:szCs w:val="24"/>
        </w:rPr>
        <w:t xml:space="preserve"> %</w:t>
      </w:r>
      <w:r w:rsidRPr="00580259">
        <w:rPr>
          <w:sz w:val="24"/>
          <w:szCs w:val="24"/>
        </w:rPr>
        <w:t xml:space="preserve"> in Zaporizhzhia oblast (target: 70</w:t>
      </w:r>
      <w:r w:rsidR="00580259">
        <w:rPr>
          <w:sz w:val="24"/>
          <w:szCs w:val="24"/>
        </w:rPr>
        <w:t xml:space="preserve"> %</w:t>
      </w:r>
      <w:r w:rsidRPr="00580259">
        <w:rPr>
          <w:sz w:val="24"/>
          <w:szCs w:val="24"/>
        </w:rPr>
        <w:t>). Updated social standards for library provision have been approved; a register of the basic network of cultural institutions has entered pilot operation in two oblasts.</w:t>
      </w:r>
    </w:p>
    <w:p w14:paraId="797FAC65" w14:textId="0A190930" w:rsidR="00B144FF" w:rsidRPr="00580259" w:rsidRDefault="00000000" w:rsidP="00580259">
      <w:pPr>
        <w:spacing w:after="160"/>
        <w:jc w:val="both"/>
        <w:rPr>
          <w:sz w:val="24"/>
          <w:szCs w:val="24"/>
        </w:rPr>
      </w:pPr>
      <w:r w:rsidRPr="00580259">
        <w:rPr>
          <w:sz w:val="24"/>
          <w:szCs w:val="24"/>
        </w:rPr>
        <w:t>Coordination councils for affirming national identity have been established unevenly (from 25</w:t>
      </w:r>
      <w:r w:rsidR="00580259">
        <w:rPr>
          <w:sz w:val="24"/>
          <w:szCs w:val="24"/>
        </w:rPr>
        <w:t xml:space="preserve"> %</w:t>
      </w:r>
      <w:r w:rsidRPr="00580259">
        <w:rPr>
          <w:sz w:val="24"/>
          <w:szCs w:val="24"/>
        </w:rPr>
        <w:t xml:space="preserve"> in Poltava oblast to near-full coverage in Kherson and Donetsk oblasts); regional programmes have been approved in 16 oblasts. Hundreds of military-patriotic education events have been held by various agencies. The Ukrainian Cultural Foundation supported 229 grant projects worth UAH 193.6 million (target: 87 </w:t>
      </w:r>
      <w:r w:rsidR="00580259">
        <w:rPr>
          <w:sz w:val="24"/>
          <w:szCs w:val="24"/>
        </w:rPr>
        <w:t>–</w:t>
      </w:r>
      <w:r w:rsidRPr="00580259">
        <w:rPr>
          <w:sz w:val="24"/>
          <w:szCs w:val="24"/>
        </w:rPr>
        <w:t xml:space="preserve">significantly exceeded); 245,740 people received book assistance (target: 660,501 </w:t>
      </w:r>
      <w:r w:rsidR="00580259">
        <w:rPr>
          <w:sz w:val="24"/>
          <w:szCs w:val="24"/>
        </w:rPr>
        <w:t>–</w:t>
      </w:r>
      <w:r w:rsidRPr="00580259">
        <w:rPr>
          <w:sz w:val="24"/>
          <w:szCs w:val="24"/>
        </w:rPr>
        <w:t xml:space="preserve">not achieved); the Ukrainian Book Institute supported 76 projects (target: 214 </w:t>
      </w:r>
      <w:r w:rsidR="00580259">
        <w:rPr>
          <w:sz w:val="24"/>
          <w:szCs w:val="24"/>
        </w:rPr>
        <w:t>–</w:t>
      </w:r>
      <w:r w:rsidRPr="00580259">
        <w:rPr>
          <w:sz w:val="24"/>
          <w:szCs w:val="24"/>
        </w:rPr>
        <w:t>not achieved). Development of historic-architectural framework plans is uneven; the "yePamiatka" (e-Monument) register has been populated at rates ranging from 2.5</w:t>
      </w:r>
      <w:r w:rsidR="00580259">
        <w:rPr>
          <w:sz w:val="24"/>
          <w:szCs w:val="24"/>
        </w:rPr>
        <w:t xml:space="preserve"> %</w:t>
      </w:r>
      <w:r w:rsidRPr="00580259">
        <w:rPr>
          <w:sz w:val="24"/>
          <w:szCs w:val="24"/>
        </w:rPr>
        <w:t xml:space="preserve"> (Rivne) to 100</w:t>
      </w:r>
      <w:r w:rsidR="00580259">
        <w:rPr>
          <w:sz w:val="24"/>
          <w:szCs w:val="24"/>
        </w:rPr>
        <w:t xml:space="preserve"> %</w:t>
      </w:r>
      <w:r w:rsidRPr="00580259">
        <w:rPr>
          <w:sz w:val="24"/>
          <w:szCs w:val="24"/>
        </w:rPr>
        <w:t xml:space="preserve"> (Odesa, Chernivtsi, Chernihiv). Creation of museum exhibitions dedicated to Russia's armed aggression significantly exceeded its target (25 new exhibitions).</w:t>
      </w:r>
    </w:p>
    <w:p w14:paraId="32059C92" w14:textId="386E454F" w:rsidR="00B144FF" w:rsidRPr="00580259" w:rsidRDefault="00000000" w:rsidP="00580259">
      <w:pPr>
        <w:spacing w:after="160"/>
        <w:jc w:val="both"/>
        <w:rPr>
          <w:sz w:val="24"/>
          <w:szCs w:val="24"/>
        </w:rPr>
      </w:pPr>
      <w:r w:rsidRPr="00580259">
        <w:rPr>
          <w:b/>
          <w:bCs/>
          <w:sz w:val="24"/>
          <w:szCs w:val="24"/>
        </w:rPr>
        <w:t xml:space="preserve">Medical services. </w:t>
      </w:r>
      <w:r w:rsidRPr="00580259">
        <w:rPr>
          <w:sz w:val="24"/>
          <w:szCs w:val="24"/>
        </w:rPr>
        <w:t>Regional public-health coordination councils operate unevenly (2–6 meetings per year). Vaccination rates differ substantially: Zaporizhzhia and Kirovohrad oblasts reached 95</w:t>
      </w:r>
      <w:r w:rsidR="00580259">
        <w:rPr>
          <w:sz w:val="24"/>
          <w:szCs w:val="24"/>
        </w:rPr>
        <w:t xml:space="preserve"> %</w:t>
      </w:r>
      <w:r w:rsidRPr="00580259">
        <w:rPr>
          <w:sz w:val="24"/>
          <w:szCs w:val="24"/>
        </w:rPr>
        <w:t>, while rates in Donetsk, Kyiv, Khmelnytskyi, and Luhansk oblasts are significantly lower. The Ministry of Health has contracted vaccines against diphtheria/tetanus (2.4 million doses), tuberculosis, measles/mumps/rubella, and rabies. A unified web portal of vacant positions is being rolled out in most oblasts; the "Mobile Pharmacy Points" project has been implemented in at least 17 oblasts (target: 15), excluding Donetsk and Luhansk. Postal delivery of medicines is growing unevenly. Updated reimbursement lists (705 items) have been approved. Rehabilitation departments have been created in most oblasts (100</w:t>
      </w:r>
      <w:r w:rsidR="00580259">
        <w:rPr>
          <w:sz w:val="24"/>
          <w:szCs w:val="24"/>
        </w:rPr>
        <w:t xml:space="preserve"> %</w:t>
      </w:r>
      <w:r w:rsidRPr="00580259">
        <w:rPr>
          <w:sz w:val="24"/>
          <w:szCs w:val="24"/>
        </w:rPr>
        <w:t xml:space="preserve"> in a number of regions); a network of 7 rehabilitation centres of excellence is developing; 531 facilities have signed contracts with the National Health Service of Ukraine for outpatient rehabilitation. Hundreds of security-sector specialists have completed mhGAP training; mental health centres have been established unevenly (100</w:t>
      </w:r>
      <w:r w:rsidR="00580259">
        <w:rPr>
          <w:sz w:val="24"/>
          <w:szCs w:val="24"/>
        </w:rPr>
        <w:t xml:space="preserve"> %</w:t>
      </w:r>
      <w:r w:rsidRPr="00580259">
        <w:rPr>
          <w:sz w:val="24"/>
          <w:szCs w:val="24"/>
        </w:rPr>
        <w:t xml:space="preserve"> in Kyiv, Chernivtsi, Zhytomyr, Ternopil, and Chernihiv oblasts, lower in Odesa and Cherkasy oblasts).</w:t>
      </w:r>
    </w:p>
    <w:p w14:paraId="1C546CE0" w14:textId="46150CC7" w:rsidR="00B144FF" w:rsidRPr="00580259" w:rsidRDefault="00000000" w:rsidP="00580259">
      <w:pPr>
        <w:spacing w:after="160"/>
        <w:jc w:val="both"/>
        <w:rPr>
          <w:sz w:val="24"/>
          <w:szCs w:val="24"/>
        </w:rPr>
      </w:pPr>
      <w:r w:rsidRPr="00580259">
        <w:rPr>
          <w:b/>
          <w:bCs/>
          <w:sz w:val="24"/>
          <w:szCs w:val="24"/>
        </w:rPr>
        <w:t xml:space="preserve">Digitalisation and administrative services. </w:t>
      </w:r>
      <w:r w:rsidRPr="00580259">
        <w:rPr>
          <w:sz w:val="24"/>
          <w:szCs w:val="24"/>
        </w:rPr>
        <w:t xml:space="preserve">New rules for the provision of electronic communications services have been approved; the main challenge is attacks on energy </w:t>
      </w:r>
      <w:r w:rsidRPr="00580259">
        <w:rPr>
          <w:sz w:val="24"/>
          <w:szCs w:val="24"/>
        </w:rPr>
        <w:lastRenderedPageBreak/>
        <w:t xml:space="preserve">infrastructure. Publication of open data is uneven (Vinnytsia </w:t>
      </w:r>
      <w:r w:rsidR="00580259">
        <w:rPr>
          <w:sz w:val="24"/>
          <w:szCs w:val="24"/>
        </w:rPr>
        <w:t>–</w:t>
      </w:r>
      <w:r w:rsidR="00580259">
        <w:rPr>
          <w:sz w:val="24"/>
          <w:szCs w:val="24"/>
          <w:lang w:val="uk-UA"/>
        </w:rPr>
        <w:t xml:space="preserve"> </w:t>
      </w:r>
      <w:r w:rsidRPr="00580259">
        <w:rPr>
          <w:sz w:val="24"/>
          <w:szCs w:val="24"/>
        </w:rPr>
        <w:t>5,567 datasets, Odesa</w:t>
      </w:r>
      <w:r w:rsidR="001C5604">
        <w:rPr>
          <w:sz w:val="24"/>
          <w:szCs w:val="24"/>
        </w:rPr>
        <w:t xml:space="preserve"> </w:t>
      </w:r>
      <w:r w:rsidR="00580259">
        <w:rPr>
          <w:sz w:val="24"/>
          <w:szCs w:val="24"/>
        </w:rPr>
        <w:t>–</w:t>
      </w:r>
      <w:r w:rsidR="00580259">
        <w:rPr>
          <w:sz w:val="24"/>
          <w:szCs w:val="24"/>
          <w:lang w:val="uk-UA"/>
        </w:rPr>
        <w:t xml:space="preserve"> </w:t>
      </w:r>
      <w:r w:rsidRPr="00580259">
        <w:rPr>
          <w:sz w:val="24"/>
          <w:szCs w:val="24"/>
        </w:rPr>
        <w:t>only 6); individual cities have joined the International Open Data Charter (the target of 50 cities has not been reached). The "Diia.Osvita" portal now hosts 37 educational products, with certificates issued to more than 615,000 users. Allocation of land plots for electronic communications networks is proceeding piecemeal; a draft resolution on GPS monitoring of transport is under approval. Unified procedures for integrating Diia services have not yet been developed (deadline: 2027). The ASC network covers 93</w:t>
      </w:r>
      <w:r w:rsidR="00580259">
        <w:rPr>
          <w:sz w:val="24"/>
          <w:szCs w:val="24"/>
        </w:rPr>
        <w:t xml:space="preserve"> %</w:t>
      </w:r>
      <w:r w:rsidRPr="00580259">
        <w:rPr>
          <w:sz w:val="24"/>
          <w:szCs w:val="24"/>
        </w:rPr>
        <w:t xml:space="preserve"> of communities (target: 85</w:t>
      </w:r>
      <w:r w:rsidR="00580259">
        <w:rPr>
          <w:sz w:val="24"/>
          <w:szCs w:val="24"/>
        </w:rPr>
        <w:t xml:space="preserve"> %</w:t>
      </w:r>
      <w:r w:rsidRPr="00580259">
        <w:rPr>
          <w:sz w:val="24"/>
          <w:szCs w:val="24"/>
        </w:rPr>
        <w:t>) and comprises 5,694 access points, of which 86 have been destroyed and 219 damaged as a result of Russian aggression.</w:t>
      </w:r>
    </w:p>
    <w:p w14:paraId="6DE18D10" w14:textId="77777777" w:rsidR="00B144FF" w:rsidRPr="00580259" w:rsidRDefault="00000000" w:rsidP="00580259">
      <w:pPr>
        <w:pStyle w:val="2"/>
        <w:spacing w:before="250" w:after="120"/>
        <w:jc w:val="both"/>
        <w:rPr>
          <w:sz w:val="24"/>
          <w:szCs w:val="24"/>
        </w:rPr>
      </w:pPr>
      <w:r w:rsidRPr="00580259">
        <w:rPr>
          <w:sz w:val="24"/>
          <w:szCs w:val="24"/>
        </w:rPr>
        <w:t>Operational Goal 3. Social protection of war veterans and their families, internally displaced persons, and other vulnerable population groups</w:t>
      </w:r>
    </w:p>
    <w:p w14:paraId="00ED87CB" w14:textId="70FA1C1A" w:rsidR="00B144FF" w:rsidRPr="00580259" w:rsidRDefault="00000000" w:rsidP="00580259">
      <w:pPr>
        <w:spacing w:after="160"/>
        <w:jc w:val="both"/>
        <w:rPr>
          <w:sz w:val="24"/>
          <w:szCs w:val="24"/>
        </w:rPr>
      </w:pPr>
      <w:r w:rsidRPr="00580259">
        <w:rPr>
          <w:b/>
          <w:bCs/>
          <w:sz w:val="24"/>
          <w:szCs w:val="24"/>
        </w:rPr>
        <w:t xml:space="preserve">Integration of internally displaced persons. </w:t>
      </w:r>
      <w:r w:rsidRPr="00580259">
        <w:rPr>
          <w:sz w:val="24"/>
          <w:szCs w:val="24"/>
        </w:rPr>
        <w:t xml:space="preserve">Creation of an information-analytical system for IDP real-estate assets is behind schedule </w:t>
      </w:r>
      <w:r w:rsidR="00580259">
        <w:rPr>
          <w:sz w:val="24"/>
          <w:szCs w:val="24"/>
        </w:rPr>
        <w:t>–</w:t>
      </w:r>
      <w:r w:rsidRPr="00580259">
        <w:rPr>
          <w:sz w:val="24"/>
          <w:szCs w:val="24"/>
        </w:rPr>
        <w:t xml:space="preserve">the new commissioning deadline has been pushed back to 1 October 2026 owing to a lack of budget funding. Establishment of a social-housing fund (800,000 m²) and a corresponding database has not yet begun (deadline: 2027); a housing-rental subsidy is provided under Resolution No. 1225. Local IDP adaptation programmes are operating in almost all oblasts (Vinnytsia </w:t>
      </w:r>
      <w:r w:rsidR="00580259">
        <w:rPr>
          <w:sz w:val="24"/>
          <w:szCs w:val="24"/>
        </w:rPr>
        <w:t>–</w:t>
      </w:r>
      <w:r w:rsidR="001C5604">
        <w:rPr>
          <w:sz w:val="24"/>
          <w:szCs w:val="24"/>
        </w:rPr>
        <w:t xml:space="preserve"> </w:t>
      </w:r>
      <w:r w:rsidRPr="00580259">
        <w:rPr>
          <w:sz w:val="24"/>
          <w:szCs w:val="24"/>
        </w:rPr>
        <w:t xml:space="preserve">81 programmes, Rivne </w:t>
      </w:r>
      <w:r w:rsidR="00580259">
        <w:rPr>
          <w:sz w:val="24"/>
          <w:szCs w:val="24"/>
        </w:rPr>
        <w:t>–</w:t>
      </w:r>
      <w:r w:rsidR="001C5604">
        <w:rPr>
          <w:sz w:val="24"/>
          <w:szCs w:val="24"/>
        </w:rPr>
        <w:t xml:space="preserve"> </w:t>
      </w:r>
      <w:r w:rsidRPr="00580259">
        <w:rPr>
          <w:sz w:val="24"/>
          <w:szCs w:val="24"/>
        </w:rPr>
        <w:t>64), though in Luhansk oblast part of the planned measures (17 of 64) have not been implemented due to occupation.</w:t>
      </w:r>
    </w:p>
    <w:p w14:paraId="337F164B" w14:textId="06C8CD1B" w:rsidR="00B144FF" w:rsidRPr="00580259" w:rsidRDefault="00000000" w:rsidP="00580259">
      <w:pPr>
        <w:spacing w:after="160"/>
        <w:jc w:val="both"/>
        <w:rPr>
          <w:sz w:val="24"/>
          <w:szCs w:val="24"/>
        </w:rPr>
      </w:pPr>
      <w:r w:rsidRPr="00580259">
        <w:rPr>
          <w:b/>
          <w:bCs/>
          <w:sz w:val="24"/>
          <w:szCs w:val="24"/>
        </w:rPr>
        <w:t xml:space="preserve">War veterans and service members living in communities. </w:t>
      </w:r>
      <w:r w:rsidRPr="00580259">
        <w:rPr>
          <w:sz w:val="24"/>
          <w:szCs w:val="24"/>
        </w:rPr>
        <w:t xml:space="preserve">1,334 people received professional adaptation support (target: 5,000); 2,323 veteran-support specialists were employed (target: 11,000 </w:t>
      </w:r>
      <w:r w:rsidR="00580259">
        <w:rPr>
          <w:sz w:val="24"/>
          <w:szCs w:val="24"/>
        </w:rPr>
        <w:t>–</w:t>
      </w:r>
      <w:r w:rsidRPr="00580259">
        <w:rPr>
          <w:sz w:val="24"/>
          <w:szCs w:val="24"/>
        </w:rPr>
        <w:t xml:space="preserve">not achieved); participation was ensured in 3 international sports competitions. Psychological assistance was provided to 5,978 veterans (target: 23,000 </w:t>
      </w:r>
      <w:r w:rsidR="00580259">
        <w:rPr>
          <w:sz w:val="24"/>
          <w:szCs w:val="24"/>
        </w:rPr>
        <w:t>–</w:t>
      </w:r>
      <w:r w:rsidRPr="00580259">
        <w:rPr>
          <w:sz w:val="24"/>
          <w:szCs w:val="24"/>
        </w:rPr>
        <w:t xml:space="preserve">not achieved); a register of psychological-assistance providers has not yet been created (deadline: 2027); 249 psychologists completed online training (target: 200 </w:t>
      </w:r>
      <w:r w:rsidR="00580259">
        <w:rPr>
          <w:sz w:val="24"/>
          <w:szCs w:val="24"/>
        </w:rPr>
        <w:t>–</w:t>
      </w:r>
      <w:r w:rsidRPr="00580259">
        <w:rPr>
          <w:sz w:val="24"/>
          <w:szCs w:val="24"/>
        </w:rPr>
        <w:t xml:space="preserve">exceeded). The Ministry of Health has introduced regulation of community-level outpatient rehabilitation </w:t>
      </w:r>
      <w:r w:rsidR="00580259">
        <w:rPr>
          <w:sz w:val="24"/>
          <w:szCs w:val="24"/>
        </w:rPr>
        <w:t>–</w:t>
      </w:r>
      <w:r w:rsidRPr="00580259">
        <w:rPr>
          <w:sz w:val="24"/>
          <w:szCs w:val="24"/>
        </w:rPr>
        <w:t>531 facilities have signed contracts with the National Health Service of Ukraine.</w:t>
      </w:r>
    </w:p>
    <w:p w14:paraId="2D8700C8" w14:textId="77777777" w:rsidR="00B144FF" w:rsidRPr="00580259" w:rsidRDefault="00000000" w:rsidP="00580259">
      <w:pPr>
        <w:pStyle w:val="1"/>
        <w:spacing w:before="300" w:after="150"/>
        <w:jc w:val="both"/>
        <w:rPr>
          <w:sz w:val="24"/>
          <w:szCs w:val="24"/>
        </w:rPr>
      </w:pPr>
      <w:r w:rsidRPr="00580259">
        <w:rPr>
          <w:sz w:val="24"/>
          <w:szCs w:val="24"/>
        </w:rPr>
        <w:t>Strategic Goal: Raising the Competitiveness of Regions</w:t>
      </w:r>
    </w:p>
    <w:p w14:paraId="2F35CD37" w14:textId="77777777" w:rsidR="00B144FF" w:rsidRPr="00580259" w:rsidRDefault="00000000" w:rsidP="00580259">
      <w:pPr>
        <w:spacing w:after="160"/>
        <w:jc w:val="both"/>
        <w:rPr>
          <w:sz w:val="24"/>
          <w:szCs w:val="24"/>
        </w:rPr>
      </w:pPr>
      <w:r w:rsidRPr="00580259">
        <w:rPr>
          <w:sz w:val="24"/>
          <w:szCs w:val="24"/>
        </w:rPr>
        <w:t>Implementation of the strategic goal "Raising the level of regional competitiveness" covers two blocks: building infrastructure resilient to security, social, and economic challenges, and forming a strong, capable, and competitive regional economy.</w:t>
      </w:r>
    </w:p>
    <w:p w14:paraId="3E0E7CED" w14:textId="77777777" w:rsidR="00B144FF" w:rsidRPr="00580259" w:rsidRDefault="00000000" w:rsidP="00580259">
      <w:pPr>
        <w:pStyle w:val="2"/>
        <w:spacing w:before="250" w:after="120"/>
        <w:jc w:val="both"/>
        <w:rPr>
          <w:sz w:val="24"/>
          <w:szCs w:val="24"/>
        </w:rPr>
      </w:pPr>
      <w:r w:rsidRPr="00580259">
        <w:rPr>
          <w:sz w:val="24"/>
          <w:szCs w:val="24"/>
        </w:rPr>
        <w:t>Operational Goal 1. Infrastructure resilient to security, social, and economic challenges</w:t>
      </w:r>
    </w:p>
    <w:p w14:paraId="4CDB6C4C" w14:textId="4973A31B" w:rsidR="00B144FF" w:rsidRPr="00580259" w:rsidRDefault="00000000" w:rsidP="00580259">
      <w:pPr>
        <w:spacing w:after="160"/>
        <w:jc w:val="both"/>
        <w:rPr>
          <w:sz w:val="24"/>
          <w:szCs w:val="24"/>
        </w:rPr>
      </w:pPr>
      <w:r w:rsidRPr="00580259">
        <w:rPr>
          <w:b/>
          <w:bCs/>
          <w:sz w:val="24"/>
          <w:szCs w:val="24"/>
        </w:rPr>
        <w:t xml:space="preserve">Transport infrastructure. </w:t>
      </w:r>
      <w:r w:rsidRPr="00580259">
        <w:rPr>
          <w:sz w:val="24"/>
          <w:szCs w:val="24"/>
        </w:rPr>
        <w:t xml:space="preserve">Development of comprehensive spatial development plans for territorial communities (CSDPs) that account for public-transport infrastructure remains mostly at an early stage: most oblasts have only decisions to proceed with development, without completed documents </w:t>
      </w:r>
      <w:r w:rsidR="00580259">
        <w:rPr>
          <w:sz w:val="24"/>
          <w:szCs w:val="24"/>
        </w:rPr>
        <w:t>–</w:t>
      </w:r>
      <w:r w:rsidRPr="00580259">
        <w:rPr>
          <w:sz w:val="24"/>
          <w:szCs w:val="24"/>
        </w:rPr>
        <w:t>Vinnytsia (19 communities), Kirovohrad (20 decisions), Poltava (35 communities have begun work), Rivne (22 communities). Completed and approved plans remain few: one each in Khmelnytskyi (Medzhybizh community) and Chernihiv oblasts, three in Kharkiv oblast (Rohan, Pisochyn, and Solonytsivka communities), while in Zakarpattia and Mykolaiv oblasts no such projects exist at all. The main obstacles are limited local and oblast budget funds (only 12</w:t>
      </w:r>
      <w:r w:rsidR="00580259">
        <w:rPr>
          <w:sz w:val="24"/>
          <w:szCs w:val="24"/>
        </w:rPr>
        <w:t xml:space="preserve"> %</w:t>
      </w:r>
      <w:r w:rsidRPr="00580259">
        <w:rPr>
          <w:sz w:val="24"/>
          <w:szCs w:val="24"/>
        </w:rPr>
        <w:t xml:space="preserve"> of communities in Kyiv oblast have begun development), the impossibility of working in the combat zone (Donetsk oblast), and territorial occupation (Luhansk oblast). The target of 50 communities has not yet been reached. Deployment of the "Maritime Single Window" information system, </w:t>
      </w:r>
      <w:r w:rsidRPr="00580259">
        <w:rPr>
          <w:sz w:val="24"/>
          <w:szCs w:val="24"/>
        </w:rPr>
        <w:lastRenderedPageBreak/>
        <w:t xml:space="preserve">integrated with fiscal and regulatory authorities' systems, has not been carried out </w:t>
      </w:r>
      <w:r w:rsidR="00580259">
        <w:rPr>
          <w:sz w:val="24"/>
          <w:szCs w:val="24"/>
        </w:rPr>
        <w:t>–</w:t>
      </w:r>
      <w:r w:rsidRPr="00580259">
        <w:rPr>
          <w:sz w:val="24"/>
          <w:szCs w:val="24"/>
        </w:rPr>
        <w:t>the implementation deadline (2027) has not yet arrived.</w:t>
      </w:r>
    </w:p>
    <w:p w14:paraId="18D679D3" w14:textId="440DF4F5" w:rsidR="00B144FF" w:rsidRPr="00580259" w:rsidRDefault="00000000" w:rsidP="00580259">
      <w:pPr>
        <w:spacing w:after="160"/>
        <w:jc w:val="both"/>
        <w:rPr>
          <w:sz w:val="24"/>
          <w:szCs w:val="24"/>
        </w:rPr>
      </w:pPr>
      <w:r w:rsidRPr="00580259">
        <w:rPr>
          <w:b/>
          <w:bCs/>
          <w:sz w:val="24"/>
          <w:szCs w:val="24"/>
        </w:rPr>
        <w:t xml:space="preserve">Comfortable communities. </w:t>
      </w:r>
      <w:r w:rsidRPr="00580259">
        <w:rPr>
          <w:sz w:val="24"/>
          <w:szCs w:val="24"/>
        </w:rPr>
        <w:t xml:space="preserve">Updating construction norms for territorial planning and development to reflect inclusivity principles has been completed: by Ministry of Development order No. 1617 of 20 November 2025, Amendment No. 3 to DBN B.2.2-40:2018 was approved, entering into force on 1 April 2026 and strengthening requirements for the accessibility of entrances, movement routes, parking, and restrooms. The task concerning the "eVidnovlennia" (eRecovery) electronic service has likewise been completed </w:t>
      </w:r>
      <w:r w:rsidR="00580259">
        <w:rPr>
          <w:sz w:val="24"/>
          <w:szCs w:val="24"/>
        </w:rPr>
        <w:t>–</w:t>
      </w:r>
      <w:r w:rsidRPr="00580259">
        <w:rPr>
          <w:sz w:val="24"/>
          <w:szCs w:val="24"/>
        </w:rPr>
        <w:t>during 2025 the Ministry of Development secured the adoption of a series of Cabinet of Ministers resolutions (No. 296, No. 359, No. 802, No. 815, No. 864 on the HOPE project, No. 1525, No. 1646, No. 1645) that improved the procedure for compensating damaged or destroyed housing.</w:t>
      </w:r>
    </w:p>
    <w:p w14:paraId="770C61CD" w14:textId="1E5F62E3" w:rsidR="00B144FF" w:rsidRPr="00580259" w:rsidRDefault="00000000" w:rsidP="00580259">
      <w:pPr>
        <w:spacing w:after="160"/>
        <w:jc w:val="both"/>
        <w:rPr>
          <w:sz w:val="24"/>
          <w:szCs w:val="24"/>
        </w:rPr>
      </w:pPr>
      <w:r w:rsidRPr="00580259">
        <w:rPr>
          <w:sz w:val="24"/>
          <w:szCs w:val="24"/>
        </w:rPr>
        <w:t xml:space="preserve">The target for modernising district-heating systems was over-fulfilled: instead of the planned five, 9 heat-supply schemes were approved </w:t>
      </w:r>
      <w:r w:rsidR="00580259">
        <w:rPr>
          <w:sz w:val="24"/>
          <w:szCs w:val="24"/>
        </w:rPr>
        <w:t>–</w:t>
      </w:r>
      <w:r w:rsidRPr="00580259">
        <w:rPr>
          <w:sz w:val="24"/>
          <w:szCs w:val="24"/>
        </w:rPr>
        <w:t>for Lviv, Cherkasy, Kovel, Dnipro, Zaporizhzhia, Ternopil, Varash, Kryvyi Rih, and Chernihiv. Housing-fund energy-efficiency indicators were likewise significantly over-fulfilled: instead of 30 independent monitoring opinions, 77 were produced; instead of 235 "EnergoDIM" projects, 593 were completed; instead of 150 "VidnovyDIM" projects, 757 were implemented; instead of 81 "GreenDIM" projects, 155 were completed. At the same time, development of energy-service contracts at housing and utility facilities (plan: at least three in 2026) has not yet begun, since the deadline has not arrived. In the water supply and sanitation sector, the "Enerhovoda" energy-modernisation programme has been integrated into the 2025–2027 Action Plan; actual financing from local budgets in 2025 (UAH 655.2 million) significantly exceeded the planned amount (UAH 107.8 million), as did funding from other sources (UAH 2,447.6 million against a planned UAH 66.3 million).</w:t>
      </w:r>
    </w:p>
    <w:p w14:paraId="3110E09F" w14:textId="77777777" w:rsidR="00B144FF" w:rsidRPr="00580259" w:rsidRDefault="00000000" w:rsidP="00580259">
      <w:pPr>
        <w:spacing w:after="160"/>
        <w:jc w:val="both"/>
        <w:rPr>
          <w:sz w:val="24"/>
          <w:szCs w:val="24"/>
        </w:rPr>
      </w:pPr>
      <w:r w:rsidRPr="00580259">
        <w:rPr>
          <w:sz w:val="24"/>
          <w:szCs w:val="24"/>
        </w:rPr>
        <w:t>In the area of housing policy, the Law "On the Basic Principles of Housing Policy" was adopted by the Verkhovna Rada on 13 January 2026; a first draft of the law "On Social Housing" is being developed with the involvement of the EU and the EIB; an interagency working group has been established to develop a State Housing Strategy, chaired by Deputy Prime Minister Oleksii Kuleba; a development project for residents of the Bakhmut community in the settlement of Hoshcha has been entered into the DREAM ecosystem; and Cabinet of Ministers Resolution No. 796 launched a pilot project for a municipal rental-housing fund, with a pilot phase of €100 million (€50 million EC grant, €50 million EIB loan). According to oblast administrations, the social-housing fund comprises 912 facilities, and the temporary-accommodation fund comprises 3,383 facilities.</w:t>
      </w:r>
    </w:p>
    <w:p w14:paraId="6F8603DC" w14:textId="77777777" w:rsidR="00B144FF" w:rsidRPr="00580259" w:rsidRDefault="00000000" w:rsidP="00580259">
      <w:pPr>
        <w:spacing w:after="160"/>
        <w:jc w:val="both"/>
        <w:rPr>
          <w:sz w:val="24"/>
          <w:szCs w:val="24"/>
        </w:rPr>
      </w:pPr>
      <w:r w:rsidRPr="00580259">
        <w:rPr>
          <w:b/>
          <w:bCs/>
          <w:sz w:val="24"/>
          <w:szCs w:val="24"/>
        </w:rPr>
        <w:t xml:space="preserve">Energy infrastructure. </w:t>
      </w:r>
      <w:r w:rsidRPr="00580259">
        <w:rPr>
          <w:sz w:val="24"/>
          <w:szCs w:val="24"/>
        </w:rPr>
        <w:t>Development of distributed electricity generation continues: the total capacity of cogeneration, gas-piston, and gas-turbine installations in Ukraine stands at 2,365 MW, of which 1,386 MW has already been commissioned, mostly in Zakarpattia, Sumy, Ivano-Frankivsk, and Kharkiv oblasts; in Luhansk oblast this measure has not begun, and in Donetsk oblast installed units sustained damage from shelling in June 2025. Development of biogas/biomethane production is progressing unevenly: the largest capacities are in Khmelnytskyi (57.57 MW), Kharkiv (4.2 MW), Ivano-Frankivsk (1.2 MW), and Chernivtsi (1 MW) oblasts, while in Kyiv oblast implementation has been suspended due to investors' financial condition, and in Donetsk oblast it is impossible because of hostilities; in Lviv oblast, construction of a plant at "Lvivvodokanal" treatment facilities has begun, and in Mykolaiv oblast two 5 MW complexes are planned from 2026.</w:t>
      </w:r>
    </w:p>
    <w:p w14:paraId="034EEF6F" w14:textId="4A6D56B7" w:rsidR="00B144FF" w:rsidRPr="00580259" w:rsidRDefault="00000000" w:rsidP="00580259">
      <w:pPr>
        <w:spacing w:after="160"/>
        <w:jc w:val="both"/>
        <w:rPr>
          <w:sz w:val="24"/>
          <w:szCs w:val="24"/>
        </w:rPr>
      </w:pPr>
      <w:r w:rsidRPr="00580259">
        <w:rPr>
          <w:sz w:val="24"/>
          <w:szCs w:val="24"/>
        </w:rPr>
        <w:lastRenderedPageBreak/>
        <w:t>Development of municipal and regional energy plans has begun: 65 plans have been approved (1 regional, 64 municipal), according to information from 17 oblast administrations. Deployment of energy-management systems has been completed: among state authorities, orders have been approved in 8,456 of 12,033 buildings (70.3</w:t>
      </w:r>
      <w:r w:rsidR="00580259">
        <w:rPr>
          <w:sz w:val="24"/>
          <w:szCs w:val="24"/>
        </w:rPr>
        <w:t xml:space="preserve"> %</w:t>
      </w:r>
      <w:r w:rsidRPr="00580259">
        <w:rPr>
          <w:sz w:val="24"/>
          <w:szCs w:val="24"/>
        </w:rPr>
        <w:t>); among local self-government bodies, in 12,273 of 18,268 buildings (67.2</w:t>
      </w:r>
      <w:r w:rsidR="00580259">
        <w:rPr>
          <w:sz w:val="24"/>
          <w:szCs w:val="24"/>
        </w:rPr>
        <w:t xml:space="preserve"> %</w:t>
      </w:r>
      <w:r w:rsidRPr="00580259">
        <w:rPr>
          <w:sz w:val="24"/>
          <w:szCs w:val="24"/>
        </w:rPr>
        <w:t xml:space="preserve">) </w:t>
      </w:r>
      <w:r w:rsidR="00580259">
        <w:rPr>
          <w:sz w:val="24"/>
          <w:szCs w:val="24"/>
        </w:rPr>
        <w:t>–</w:t>
      </w:r>
      <w:r w:rsidRPr="00580259">
        <w:rPr>
          <w:sz w:val="24"/>
          <w:szCs w:val="24"/>
        </w:rPr>
        <w:t>both in line with the targets.</w:t>
      </w:r>
    </w:p>
    <w:p w14:paraId="06442701" w14:textId="739A48AE" w:rsidR="00B144FF" w:rsidRPr="00580259" w:rsidRDefault="00000000" w:rsidP="00580259">
      <w:pPr>
        <w:spacing w:after="160"/>
        <w:jc w:val="both"/>
        <w:rPr>
          <w:sz w:val="24"/>
          <w:szCs w:val="24"/>
        </w:rPr>
      </w:pPr>
      <w:r w:rsidRPr="00580259">
        <w:rPr>
          <w:b/>
          <w:bCs/>
          <w:sz w:val="24"/>
          <w:szCs w:val="24"/>
        </w:rPr>
        <w:t xml:space="preserve">Civil protection and public safety. </w:t>
      </w:r>
      <w:r w:rsidRPr="00580259">
        <w:rPr>
          <w:sz w:val="24"/>
          <w:szCs w:val="24"/>
        </w:rPr>
        <w:t>As of 15 January 2026, the civil-protection facilities fund comprises 68,529 facilities, of which 7,595 are located in temporarily occupied territories or in the combat zone, and a further 4,193 can no longer be fully surveyed. On government-controlled territory, 60,934 facilities are registered, of which 87</w:t>
      </w:r>
      <w:r w:rsidR="00580259">
        <w:rPr>
          <w:sz w:val="24"/>
          <w:szCs w:val="24"/>
        </w:rPr>
        <w:t xml:space="preserve"> %</w:t>
      </w:r>
      <w:r w:rsidRPr="00580259">
        <w:rPr>
          <w:sz w:val="24"/>
          <w:szCs w:val="24"/>
        </w:rPr>
        <w:t xml:space="preserve"> are ready for use, 10</w:t>
      </w:r>
      <w:r w:rsidR="00580259">
        <w:rPr>
          <w:sz w:val="24"/>
          <w:szCs w:val="24"/>
        </w:rPr>
        <w:t xml:space="preserve"> %</w:t>
      </w:r>
      <w:r w:rsidRPr="00580259">
        <w:rPr>
          <w:sz w:val="24"/>
          <w:szCs w:val="24"/>
        </w:rPr>
        <w:t xml:space="preserve"> are unfit, and 3</w:t>
      </w:r>
      <w:r w:rsidR="00580259">
        <w:rPr>
          <w:sz w:val="24"/>
          <w:szCs w:val="24"/>
        </w:rPr>
        <w:t xml:space="preserve"> %</w:t>
      </w:r>
      <w:r w:rsidRPr="00580259">
        <w:rPr>
          <w:sz w:val="24"/>
          <w:szCs w:val="24"/>
        </w:rPr>
        <w:t xml:space="preserve"> lack unobstructed access; over the year the fund grew by 3,455 facilities (5</w:t>
      </w:r>
      <w:r w:rsidR="00580259">
        <w:rPr>
          <w:sz w:val="24"/>
          <w:szCs w:val="24"/>
        </w:rPr>
        <w:t xml:space="preserve"> %</w:t>
      </w:r>
      <w:r w:rsidRPr="00580259">
        <w:rPr>
          <w:sz w:val="24"/>
          <w:szCs w:val="24"/>
        </w:rPr>
        <w:t>), and a comprehensive survey was completed for 100</w:t>
      </w:r>
      <w:r w:rsidR="00580259">
        <w:rPr>
          <w:sz w:val="24"/>
          <w:szCs w:val="24"/>
        </w:rPr>
        <w:t xml:space="preserve"> %</w:t>
      </w:r>
      <w:r w:rsidRPr="00580259">
        <w:rPr>
          <w:sz w:val="24"/>
          <w:szCs w:val="24"/>
        </w:rPr>
        <w:t xml:space="preserve"> of the 62,822 facilities planned.</w:t>
      </w:r>
    </w:p>
    <w:p w14:paraId="7F99153F" w14:textId="6AF8AFF8" w:rsidR="00B144FF" w:rsidRPr="00580259" w:rsidRDefault="00000000" w:rsidP="00580259">
      <w:pPr>
        <w:spacing w:after="160"/>
        <w:jc w:val="both"/>
        <w:rPr>
          <w:sz w:val="24"/>
          <w:szCs w:val="24"/>
        </w:rPr>
      </w:pPr>
      <w:r w:rsidRPr="00580259">
        <w:rPr>
          <w:sz w:val="24"/>
          <w:szCs w:val="24"/>
        </w:rPr>
        <w:t>Technical modernisation of automated centralised alert systems varies considerably by region: in Lviv oblast the system is already in full operation, in Ivano-Frankivsk and Khmelnytskyi oblasts it is at the pilot stage, in Zhytomyr and Mykolaiv oblasts 30</w:t>
      </w:r>
      <w:r w:rsidR="00580259">
        <w:rPr>
          <w:sz w:val="24"/>
          <w:szCs w:val="24"/>
        </w:rPr>
        <w:t xml:space="preserve"> %</w:t>
      </w:r>
      <w:r w:rsidRPr="00580259">
        <w:rPr>
          <w:sz w:val="24"/>
          <w:szCs w:val="24"/>
        </w:rPr>
        <w:t xml:space="preserve"> and 20</w:t>
      </w:r>
      <w:r w:rsidR="00580259">
        <w:rPr>
          <w:sz w:val="24"/>
          <w:szCs w:val="24"/>
        </w:rPr>
        <w:t xml:space="preserve"> %</w:t>
      </w:r>
      <w:r w:rsidRPr="00580259">
        <w:rPr>
          <w:sz w:val="24"/>
          <w:szCs w:val="24"/>
        </w:rPr>
        <w:t xml:space="preserve"> have been completed respectively, in Ternopil oblast modernisation of the "OZON" system has been completed, in Cherkasy oblast a tender has been held, while in Luhansk oblast it has not begun and in Donetsk oblast (more than 70</w:t>
      </w:r>
      <w:r w:rsidR="00580259">
        <w:rPr>
          <w:sz w:val="24"/>
          <w:szCs w:val="24"/>
        </w:rPr>
        <w:t xml:space="preserve"> %</w:t>
      </w:r>
      <w:r w:rsidRPr="00580259">
        <w:rPr>
          <w:sz w:val="24"/>
          <w:szCs w:val="24"/>
        </w:rPr>
        <w:t xml:space="preserve"> of territory occupied) the system is inoperable. Deployment of new local alert systems (plan: 1,595 units) is likewise progressing unevenly: from 80 units in Lviv oblast and 28 in Dnipropetrovsk oblast to isolated cases in Kharkiv oblast (1, in the city itself) and none at all in Luhansk oblast. Among the challenges, Vinnytsia and Poltava oblasts cite a lack of funding.</w:t>
      </w:r>
    </w:p>
    <w:p w14:paraId="2ED11874" w14:textId="7B378E30" w:rsidR="00B144FF" w:rsidRPr="00580259" w:rsidRDefault="00000000" w:rsidP="00580259">
      <w:pPr>
        <w:spacing w:after="160"/>
        <w:jc w:val="both"/>
        <w:rPr>
          <w:sz w:val="24"/>
          <w:szCs w:val="24"/>
        </w:rPr>
      </w:pPr>
      <w:r w:rsidRPr="00580259">
        <w:rPr>
          <w:sz w:val="24"/>
          <w:szCs w:val="24"/>
        </w:rPr>
        <w:t>Regarding the creation of security centres: in 2025, 111 local and volunteer fire-and-rescue units were formed, and 122 units of equipment and 16 SESU real-estate facilities were transferred. As of 1 January 2026, more than 1,500 police stations are operating, of which 28 are based at security centres (155 new stations in the year, 5 of them at newly established centres), while 104 stations ceased operating due to Russian aggression (15 destroyed, 16 damaged, 73 in occupied territory); emergency-medical-service crew duty is also being provided at security centres. The "Community Police Officer" project is being implemented in almost 1,100 communities across 23 regions (83</w:t>
      </w:r>
      <w:r w:rsidR="00580259">
        <w:rPr>
          <w:sz w:val="24"/>
          <w:szCs w:val="24"/>
        </w:rPr>
        <w:t xml:space="preserve"> %</w:t>
      </w:r>
      <w:r w:rsidRPr="00580259">
        <w:rPr>
          <w:sz w:val="24"/>
          <w:szCs w:val="24"/>
        </w:rPr>
        <w:t xml:space="preserve"> of the total, excluding occupied territories); 108 new communities joined over the year; staffing stands at almost 2,500 positions, with an 85</w:t>
      </w:r>
      <w:r w:rsidR="00580259">
        <w:rPr>
          <w:sz w:val="24"/>
          <w:szCs w:val="24"/>
        </w:rPr>
        <w:t xml:space="preserve"> %</w:t>
      </w:r>
      <w:r w:rsidRPr="00580259">
        <w:rPr>
          <w:sz w:val="24"/>
          <w:szCs w:val="24"/>
        </w:rPr>
        <w:t xml:space="preserve"> fill rate. The project is most fully implemented in Vinnytsia, Rivne, and Kirovohrad oblasts (100</w:t>
      </w:r>
      <w:r w:rsidR="00580259">
        <w:rPr>
          <w:sz w:val="24"/>
          <w:szCs w:val="24"/>
        </w:rPr>
        <w:t xml:space="preserve"> %</w:t>
      </w:r>
      <w:r w:rsidRPr="00580259">
        <w:rPr>
          <w:sz w:val="24"/>
          <w:szCs w:val="24"/>
        </w:rPr>
        <w:t>), with the lowest rates in Donetsk (8 of 46) and Kherson (13 of 49) oblasts.</w:t>
      </w:r>
    </w:p>
    <w:p w14:paraId="26A3F508" w14:textId="77777777" w:rsidR="00B144FF" w:rsidRPr="00580259" w:rsidRDefault="00000000" w:rsidP="00580259">
      <w:pPr>
        <w:spacing w:after="160"/>
        <w:jc w:val="both"/>
        <w:rPr>
          <w:sz w:val="24"/>
          <w:szCs w:val="24"/>
        </w:rPr>
      </w:pPr>
      <w:r w:rsidRPr="00580259">
        <w:rPr>
          <w:sz w:val="24"/>
          <w:szCs w:val="24"/>
        </w:rPr>
        <w:t>The second operational goal is aimed at forming a strong, capable, and competitive regional economy.</w:t>
      </w:r>
    </w:p>
    <w:p w14:paraId="7AFBF40B" w14:textId="5B5D2395" w:rsidR="00B144FF" w:rsidRPr="00580259" w:rsidRDefault="00000000" w:rsidP="00580259">
      <w:pPr>
        <w:spacing w:after="160"/>
        <w:jc w:val="both"/>
        <w:rPr>
          <w:sz w:val="24"/>
          <w:szCs w:val="24"/>
        </w:rPr>
      </w:pPr>
      <w:r w:rsidRPr="00580259">
        <w:rPr>
          <w:b/>
          <w:bCs/>
          <w:sz w:val="24"/>
          <w:szCs w:val="24"/>
        </w:rPr>
        <w:t xml:space="preserve">New jobs, investment, and business development. </w:t>
      </w:r>
      <w:r w:rsidRPr="00580259">
        <w:rPr>
          <w:sz w:val="24"/>
          <w:szCs w:val="24"/>
        </w:rPr>
        <w:t>Stimulating entrepreneurial activity among IDPs, veterans, and the unemployed encompasses several measures: a vocational-training programme has not yet begun (the deadline has not arrived); veterans and their family members have received support for 434 projects under the "VARTO" competition for 2024–2025; the Ministry of Economy is implementing eight employment-support programmes for vulnerable categories (employer compensation for hiring IDPs, unemployed persons, persons with disabilities, etc.), under which 35,600 people were employed in 2025 (+13.6</w:t>
      </w:r>
      <w:r w:rsidR="00580259">
        <w:rPr>
          <w:sz w:val="24"/>
          <w:szCs w:val="24"/>
        </w:rPr>
        <w:t xml:space="preserve"> %</w:t>
      </w:r>
      <w:r w:rsidRPr="00580259">
        <w:rPr>
          <w:sz w:val="24"/>
          <w:szCs w:val="24"/>
        </w:rPr>
        <w:t xml:space="preserve"> year on year), compensation for workplace accommodation was provided to 2,400 persons with disabilities (+27.9</w:t>
      </w:r>
      <w:r w:rsidR="00580259">
        <w:rPr>
          <w:sz w:val="24"/>
          <w:szCs w:val="24"/>
        </w:rPr>
        <w:t xml:space="preserve"> %</w:t>
      </w:r>
      <w:r w:rsidRPr="00580259">
        <w:rPr>
          <w:sz w:val="24"/>
          <w:szCs w:val="24"/>
        </w:rPr>
        <w:t xml:space="preserve">), and 115,600 referrals were made to socially useful work; as of 23 March 2026, 2,824 decisions had been made to award grants to combat participants totalling UAH 1.3 billion; under </w:t>
      </w:r>
      <w:r w:rsidRPr="00580259">
        <w:rPr>
          <w:sz w:val="24"/>
          <w:szCs w:val="24"/>
        </w:rPr>
        <w:lastRenderedPageBreak/>
        <w:t>the processing-industry grant programme (Cabinet Resolution No. 739), 450 grants worth UAH 2,293.3 million were issued in 2025.</w:t>
      </w:r>
    </w:p>
    <w:p w14:paraId="2ECE366B" w14:textId="77777777" w:rsidR="00B144FF" w:rsidRPr="00580259" w:rsidRDefault="00000000" w:rsidP="00580259">
      <w:pPr>
        <w:spacing w:after="160"/>
        <w:jc w:val="both"/>
        <w:rPr>
          <w:sz w:val="24"/>
          <w:szCs w:val="24"/>
        </w:rPr>
      </w:pPr>
      <w:r w:rsidRPr="00580259">
        <w:rPr>
          <w:sz w:val="24"/>
          <w:szCs w:val="24"/>
        </w:rPr>
        <w:t>Critical-infrastructure resilience programmes have been developed and approved in most regions (Zhytomyr, Zaporizhzhia, Lviv, Kharkiv, Khmelnytskyi, Sumy); Mykolaiv oblast has implemented specific projects (a water intake, treatment facilities, 18 boiler houses); in Luhansk oblast the measure has not begun. Population training on crisis-response actions has been carried out in all regions, meeting or exceeding plans (Vinnytsia, Ivano-Frankivsk, Kyiv, Sumy, Ternopil); Donetsk oblast reached 13,300 people through the "Centre for Unity and National Resistance" platform; in Luhansk oblast the measure has not begun.</w:t>
      </w:r>
    </w:p>
    <w:p w14:paraId="380A7A6B" w14:textId="4D6D9AF2" w:rsidR="00B144FF" w:rsidRPr="00580259" w:rsidRDefault="00000000" w:rsidP="00580259">
      <w:pPr>
        <w:spacing w:after="160"/>
        <w:jc w:val="both"/>
        <w:rPr>
          <w:sz w:val="24"/>
          <w:szCs w:val="24"/>
        </w:rPr>
      </w:pPr>
      <w:r w:rsidRPr="00580259">
        <w:rPr>
          <w:sz w:val="24"/>
          <w:szCs w:val="24"/>
        </w:rPr>
        <w:t>Regarding access to labour markets, the State Labour Service conducted an information campaign involving more than 100,000 employer visits and the conclusion of 232,572 employment contracts, along with the "Come into the Light!" campaign (12 million people reached, 10,096 contracts); according to survey results, about 23.4</w:t>
      </w:r>
      <w:r w:rsidR="00580259">
        <w:rPr>
          <w:sz w:val="24"/>
          <w:szCs w:val="24"/>
        </w:rPr>
        <w:t xml:space="preserve"> %</w:t>
      </w:r>
      <w:r w:rsidRPr="00580259">
        <w:rPr>
          <w:sz w:val="24"/>
          <w:szCs w:val="24"/>
        </w:rPr>
        <w:t xml:space="preserve"> of employed persons (2.68 million people) work informally. Consultative support for relocated business was provided to 2,859 enterprises, 299 of them relocated. In terms of investment attractiveness, regional decarbonisation offices were established in eight regions, 56 energy-efficiency projects were selected (plan: 30), and Ministry of Economy representatives took part in 17 international events, including their own conference in Kyiv on 16 October 2025.</w:t>
      </w:r>
    </w:p>
    <w:p w14:paraId="050722A8" w14:textId="77777777" w:rsidR="00B144FF" w:rsidRPr="00580259" w:rsidRDefault="00000000" w:rsidP="00580259">
      <w:pPr>
        <w:spacing w:after="160"/>
        <w:jc w:val="both"/>
        <w:rPr>
          <w:sz w:val="24"/>
          <w:szCs w:val="24"/>
        </w:rPr>
      </w:pPr>
      <w:r w:rsidRPr="00580259">
        <w:rPr>
          <w:sz w:val="24"/>
          <w:szCs w:val="24"/>
        </w:rPr>
        <w:t>Regarding smart specialisation, methodological recommendations have been approved, a coordination centre and regional expert groups have been established, and in 7 regions, with support from the Joint Research Centre, the "entrepreneurial discovery" process has begun. Almost all oblasts have incorporated the relevant areas into their regional development strategies, while Zaporizhzhia and Luhansk oblasts have suspended application of the approach owing to the status of their territories, and Kherson oblast is in the process of updating its strategy.</w:t>
      </w:r>
    </w:p>
    <w:p w14:paraId="7DC93AF4" w14:textId="77777777" w:rsidR="00B144FF" w:rsidRPr="00580259" w:rsidRDefault="00000000" w:rsidP="00580259">
      <w:pPr>
        <w:spacing w:after="160"/>
        <w:jc w:val="both"/>
        <w:rPr>
          <w:sz w:val="24"/>
          <w:szCs w:val="24"/>
        </w:rPr>
      </w:pPr>
      <w:r w:rsidRPr="00580259">
        <w:rPr>
          <w:b/>
          <w:bCs/>
          <w:sz w:val="24"/>
          <w:szCs w:val="24"/>
        </w:rPr>
        <w:t xml:space="preserve">Tourism. </w:t>
      </w:r>
      <w:r w:rsidRPr="00580259">
        <w:rPr>
          <w:sz w:val="24"/>
          <w:szCs w:val="24"/>
        </w:rPr>
        <w:t>The State Agency for Tourism Development (DART) has finalised a draft law on the environmental safety of water use, with Cabinet consideration planned for 2026; at the same time, a 2018 requirement to approve a sanitary-protection regime for the Kuyalnyk resort has not been fulfilled. Development of recommendations on arranging tourist routes is planned for 2026. An analysis of local tourism brands in the regions has been carried out (plan: at least 50), with consultations for local self-government bodies planned for 2026–2027. In the area of UNESCO nominations, preparation of an application for the "Cultural Landscape of Chernihiv" is underway; the dossier for "Sofiyivka Park" has been recommended for submission to ICOMOS for review; a memorandum has been signed with Moldova and Romania on the joint nomination of "Prekukuten-Ariuşd-Cucuteni-Trypillia"; and the Ministry of Economy is exploring the possibility of including the gypsum karst caves of western Ukraine on the Tentative List.</w:t>
      </w:r>
    </w:p>
    <w:p w14:paraId="2BE79E20" w14:textId="77777777" w:rsidR="00B144FF" w:rsidRPr="00580259" w:rsidRDefault="00000000" w:rsidP="00580259">
      <w:pPr>
        <w:pStyle w:val="1"/>
        <w:spacing w:before="300" w:after="150"/>
        <w:jc w:val="both"/>
        <w:rPr>
          <w:sz w:val="24"/>
          <w:szCs w:val="24"/>
        </w:rPr>
      </w:pPr>
      <w:r w:rsidRPr="00580259">
        <w:rPr>
          <w:sz w:val="24"/>
          <w:szCs w:val="24"/>
        </w:rPr>
        <w:t>Strategic Goal: Building Effective Multi-Level Governance</w:t>
      </w:r>
    </w:p>
    <w:p w14:paraId="6FA9F249" w14:textId="77777777" w:rsidR="00B144FF" w:rsidRPr="00580259" w:rsidRDefault="00000000" w:rsidP="00580259">
      <w:pPr>
        <w:spacing w:after="160"/>
        <w:jc w:val="both"/>
        <w:rPr>
          <w:sz w:val="24"/>
          <w:szCs w:val="24"/>
        </w:rPr>
      </w:pPr>
      <w:r w:rsidRPr="00580259">
        <w:rPr>
          <w:sz w:val="24"/>
          <w:szCs w:val="24"/>
        </w:rPr>
        <w:t>Implementation of the strategic goal "Building effective multi-level governance" focuses on strengthening the institutional capacity of public authorities, improving the system of strategic planning and accountability, developing inter-municipal and international cooperation, and introducing a modern public investment management system in line with EU principles and practices.</w:t>
      </w:r>
    </w:p>
    <w:p w14:paraId="65C0D15B" w14:textId="77777777" w:rsidR="00B144FF" w:rsidRPr="00580259" w:rsidRDefault="00000000" w:rsidP="00580259">
      <w:pPr>
        <w:pStyle w:val="2"/>
        <w:spacing w:before="250" w:after="120"/>
        <w:jc w:val="both"/>
        <w:rPr>
          <w:sz w:val="24"/>
          <w:szCs w:val="24"/>
        </w:rPr>
      </w:pPr>
      <w:r w:rsidRPr="00580259">
        <w:rPr>
          <w:sz w:val="24"/>
          <w:szCs w:val="24"/>
        </w:rPr>
        <w:lastRenderedPageBreak/>
        <w:t>Operational Goal 1. Developing the institutional capacity of public authorities in line with EU best practice</w:t>
      </w:r>
    </w:p>
    <w:p w14:paraId="312C6D0C" w14:textId="5E5F29E4" w:rsidR="00B144FF" w:rsidRPr="00580259" w:rsidRDefault="00000000" w:rsidP="00580259">
      <w:pPr>
        <w:spacing w:after="160"/>
        <w:jc w:val="both"/>
        <w:rPr>
          <w:sz w:val="24"/>
          <w:szCs w:val="24"/>
        </w:rPr>
      </w:pPr>
      <w:r w:rsidRPr="00580259">
        <w:rPr>
          <w:b/>
          <w:bCs/>
          <w:sz w:val="24"/>
          <w:szCs w:val="24"/>
        </w:rPr>
        <w:t xml:space="preserve">Regional-policy planning and accountability instruments. </w:t>
      </w:r>
      <w:r w:rsidRPr="00580259">
        <w:rPr>
          <w:sz w:val="24"/>
          <w:szCs w:val="24"/>
        </w:rPr>
        <w:t xml:space="preserve">As part of updating regional-policy strategic planning documents to reflect regional-recovery priorities, most oblasts </w:t>
      </w:r>
      <w:r w:rsidR="00580259">
        <w:rPr>
          <w:sz w:val="24"/>
          <w:szCs w:val="24"/>
        </w:rPr>
        <w:t>–</w:t>
      </w:r>
      <w:r w:rsidRPr="00580259">
        <w:rPr>
          <w:sz w:val="24"/>
          <w:szCs w:val="24"/>
        </w:rPr>
        <w:t xml:space="preserve">Vinnytsia, Dnipropetrovsk, Donetsk, Zakarpattia, Ivano-Frankivsk, Kyiv, Kirovohrad, Lviv, Mykolaiv, Odesa, Poltava, Rivne, Sumy, Ternopil, Kharkiv, Khmelnytskyi, Cherkasy, Chernivtsi, and Chernihiv </w:t>
      </w:r>
      <w:r w:rsidR="00580259">
        <w:rPr>
          <w:sz w:val="24"/>
          <w:szCs w:val="24"/>
        </w:rPr>
        <w:t>–</w:t>
      </w:r>
      <w:r w:rsidRPr="00580259">
        <w:rPr>
          <w:sz w:val="24"/>
          <w:szCs w:val="24"/>
        </w:rPr>
        <w:t>amended or updated their regional development strategies during 2025–2026 in line with the updated State Regional Development Strategy. Luhansk oblast began drafting a new version of its strategy and received a positive opinion from the Ministry of Development on 18 March 2026, although smart-specialisation principles were not applied. Kherson oblast continues to update its strategy with support from the Polaris project and is currently at the data-collection stage, while Zaporizhzhia oblast did not carry out an update because 54 of its 67 communities are occupied and the remaining territory is in a high-risk combat zone.</w:t>
      </w:r>
    </w:p>
    <w:p w14:paraId="106028CC" w14:textId="77777777" w:rsidR="00B144FF" w:rsidRPr="00580259" w:rsidRDefault="00000000" w:rsidP="00580259">
      <w:pPr>
        <w:spacing w:after="160"/>
        <w:jc w:val="both"/>
        <w:rPr>
          <w:sz w:val="24"/>
          <w:szCs w:val="24"/>
        </w:rPr>
      </w:pPr>
      <w:r w:rsidRPr="00580259">
        <w:rPr>
          <w:sz w:val="24"/>
          <w:szCs w:val="24"/>
        </w:rPr>
        <w:t>Regarding the alignment of sectoral strategies with the goals of state regional policy, the Cabinet of Ministers of Ukraine adopted Resolution No. 361 of 26 March 2026, approving a Procedure for developing, monitoring, and evaluating the results of strategy implementation, which underpins the formulation of public-investment proposals. In the area of introducing local statistics, amendments are being prepared to Cabinet Resolution No. 305 of 15 March 2024 aimed at restoring monitoring and evaluation of state regional policy, and the Ministry of Development, together with the State Statistics Service, is working on establishing a municipal-statistics system.</w:t>
      </w:r>
    </w:p>
    <w:p w14:paraId="5409DFDE" w14:textId="34EF9C42" w:rsidR="00B144FF" w:rsidRPr="00580259" w:rsidRDefault="00000000" w:rsidP="00580259">
      <w:pPr>
        <w:spacing w:after="160"/>
        <w:jc w:val="both"/>
        <w:rPr>
          <w:sz w:val="24"/>
          <w:szCs w:val="24"/>
        </w:rPr>
      </w:pPr>
      <w:r w:rsidRPr="00580259">
        <w:rPr>
          <w:sz w:val="24"/>
          <w:szCs w:val="24"/>
        </w:rPr>
        <w:t xml:space="preserve">Regarding the introduction of a unified geoinformation system for monitoring and evaluating regional development (a DREAM component), a draft Ministry of Development order on the system's operating regulations has completed the drafting stage and, once approval is finalised, will be forwarded to the Ministry of Justice. By Ministry of Development order No. 1218 of 5 August 2025, the regional-development GIS software was put into pilot operation </w:t>
      </w:r>
      <w:r w:rsidR="00580259">
        <w:rPr>
          <w:sz w:val="24"/>
          <w:szCs w:val="24"/>
        </w:rPr>
        <w:t>–</w:t>
      </w:r>
      <w:r w:rsidRPr="00580259">
        <w:rPr>
          <w:sz w:val="24"/>
          <w:szCs w:val="24"/>
        </w:rPr>
        <w:t xml:space="preserve">as of 31 December 2025, 25 regional strategies had been entered into the system (21 signed, Ternopil's pending signature, and Lviv, Ivano-Frankivsk, and Cherkasy pending approval by their respective oblast councils), and representatives of territorial communities from 5 pilot oblasts </w:t>
      </w:r>
      <w:r w:rsidR="00580259">
        <w:rPr>
          <w:sz w:val="24"/>
          <w:szCs w:val="24"/>
        </w:rPr>
        <w:t>–</w:t>
      </w:r>
      <w:r w:rsidRPr="00580259">
        <w:rPr>
          <w:sz w:val="24"/>
          <w:szCs w:val="24"/>
        </w:rPr>
        <w:t xml:space="preserve">Vinnytsia, Dnipropetrovsk, Mykolaiv, Rivne, and Poltava </w:t>
      </w:r>
      <w:r w:rsidR="00580259">
        <w:rPr>
          <w:sz w:val="24"/>
          <w:szCs w:val="24"/>
        </w:rPr>
        <w:t>–</w:t>
      </w:r>
      <w:r w:rsidRPr="00580259">
        <w:rPr>
          <w:sz w:val="24"/>
          <w:szCs w:val="24"/>
        </w:rPr>
        <w:t>have joined the system's operation. The measure to modernise and expand the system's functionality has not yet begun, since its implementation deadline (2027) has not arrived.</w:t>
      </w:r>
    </w:p>
    <w:p w14:paraId="19DE259C" w14:textId="77777777" w:rsidR="00B144FF" w:rsidRPr="00580259" w:rsidRDefault="00000000" w:rsidP="00580259">
      <w:pPr>
        <w:spacing w:after="160"/>
        <w:jc w:val="both"/>
        <w:rPr>
          <w:sz w:val="24"/>
          <w:szCs w:val="24"/>
        </w:rPr>
      </w:pPr>
      <w:r w:rsidRPr="00580259">
        <w:rPr>
          <w:sz w:val="24"/>
          <w:szCs w:val="24"/>
        </w:rPr>
        <w:t>As part of creating conditions for greater accountability and transparency of authorities and for engaging residents in decision-making, the Ministry of Digital Transformation adapted the structure of the Digital Transformation Index for regions and communities to martial-law conditions, retaining only priority indicators for frontline regions; a draft of the relevant methodology is undergoing internal clearance within the Ministry. At the same time, quarterly assessment of the level of digital transformation continues, with reporting data published on the hromada.gov.ua web portal. A draft law on establishing a coordinated system of strategic, spatial, and budgetary planning for regional development (optimising the architecture of planning documents) has completed the external-clearance procedure and is being prepared for submission to the Government.</w:t>
      </w:r>
    </w:p>
    <w:p w14:paraId="7A55A2F7" w14:textId="77777777" w:rsidR="00B144FF" w:rsidRPr="00580259" w:rsidRDefault="00000000" w:rsidP="00580259">
      <w:pPr>
        <w:spacing w:after="160"/>
        <w:jc w:val="both"/>
        <w:rPr>
          <w:sz w:val="24"/>
          <w:szCs w:val="24"/>
        </w:rPr>
      </w:pPr>
      <w:r w:rsidRPr="00580259">
        <w:rPr>
          <w:b/>
          <w:bCs/>
          <w:sz w:val="24"/>
          <w:szCs w:val="24"/>
        </w:rPr>
        <w:t xml:space="preserve">Capacity building for actors in state regional policy. </w:t>
      </w:r>
      <w:r w:rsidRPr="00580259">
        <w:rPr>
          <w:sz w:val="24"/>
          <w:szCs w:val="24"/>
        </w:rPr>
        <w:t xml:space="preserve">In 2025, training at the Higher School of Public Administration and regional professional-development centres was completed by: 2,526 people in strategic planning; 1,289 people in the provision of public services; 1,178 people in </w:t>
      </w:r>
      <w:r w:rsidRPr="00580259">
        <w:rPr>
          <w:sz w:val="24"/>
          <w:szCs w:val="24"/>
        </w:rPr>
        <w:lastRenderedPageBreak/>
        <w:t>budgeting (including gender-responsive budgeting); and 785 people in investment attraction; a further 274 people completed training in strategic management at institutions delivering NAUCS state orders.</w:t>
      </w:r>
    </w:p>
    <w:p w14:paraId="4259E101" w14:textId="77777777" w:rsidR="00B144FF" w:rsidRPr="00580259" w:rsidRDefault="00000000" w:rsidP="00580259">
      <w:pPr>
        <w:spacing w:after="160"/>
        <w:jc w:val="both"/>
        <w:rPr>
          <w:sz w:val="24"/>
          <w:szCs w:val="24"/>
        </w:rPr>
      </w:pPr>
      <w:r w:rsidRPr="00580259">
        <w:rPr>
          <w:sz w:val="24"/>
          <w:szCs w:val="24"/>
        </w:rPr>
        <w:t>Regarding methodological and organisational support for regional development agencies, the agencies concluded 6 memoranda with the international organisation EURADA, and their activity in training and capacity-building programmes proved uneven: the highest levels were recorded in Poltava (95 events), Lviv (82), and Khmelnytskyi (78) oblasts, with high activity also shown by Rivne, Zhytomyr, Mykolaiv, and Kirovohrad oblasts; moderate levels were recorded in Volyn, Kharkiv, Ternopil, Luhansk, Cherkasy, Kyiv, and Chernivtsi oblasts; and lower levels in Vinnytsia, Zakarpattia, Kherson, Ivano-Frankivsk, Odesa, Sumy, and Chernihiv oblasts, due to staffing, organisational, or security-related challenges. Dnipropetrovsk and Donetsk oblasts have no regional development agency, while Zaporizhzhia oblast established one only recently.</w:t>
      </w:r>
    </w:p>
    <w:p w14:paraId="0D19C632" w14:textId="77777777" w:rsidR="00B144FF" w:rsidRPr="00580259" w:rsidRDefault="00000000" w:rsidP="00580259">
      <w:pPr>
        <w:pStyle w:val="2"/>
        <w:spacing w:before="250" w:after="120"/>
        <w:jc w:val="both"/>
        <w:rPr>
          <w:sz w:val="24"/>
          <w:szCs w:val="24"/>
        </w:rPr>
      </w:pPr>
      <w:r w:rsidRPr="00580259">
        <w:rPr>
          <w:sz w:val="24"/>
          <w:szCs w:val="24"/>
        </w:rPr>
        <w:t>Operational Goal 2. Developing various forms of cooperation and effective public-investment management</w:t>
      </w:r>
    </w:p>
    <w:p w14:paraId="7E872194" w14:textId="778F28AC" w:rsidR="00B144FF" w:rsidRPr="001C5604" w:rsidRDefault="00000000" w:rsidP="001C5604">
      <w:pPr>
        <w:pStyle w:val="3"/>
        <w:spacing w:before="200" w:after="100"/>
        <w:jc w:val="both"/>
        <w:rPr>
          <w:b/>
          <w:bCs/>
          <w:color w:val="000000" w:themeColor="text1"/>
        </w:rPr>
      </w:pPr>
      <w:r w:rsidRPr="001C5604">
        <w:rPr>
          <w:b/>
          <w:bCs/>
          <w:color w:val="000000" w:themeColor="text1"/>
        </w:rPr>
        <w:t>Development of cooperation at the regional level</w:t>
      </w:r>
      <w:r w:rsidR="001C5604">
        <w:rPr>
          <w:b/>
          <w:bCs/>
          <w:color w:val="000000" w:themeColor="text1"/>
        </w:rPr>
        <w:t xml:space="preserve">. </w:t>
      </w:r>
      <w:r w:rsidRPr="001C5604">
        <w:rPr>
          <w:color w:val="000000" w:themeColor="text1"/>
        </w:rPr>
        <w:t xml:space="preserve">In the area of improving the regulatory framework for inter-municipal cooperation, in 2025 nearly all oblasts concluded new agreements: the highest figures were recorded by Cherkasy oblast (68 new agreements, ranking first in Ukraine by growth, with 80 agreements in force </w:t>
      </w:r>
      <w:r w:rsidR="00580259" w:rsidRPr="001C5604">
        <w:rPr>
          <w:color w:val="000000" w:themeColor="text1"/>
        </w:rPr>
        <w:t>–</w:t>
      </w:r>
      <w:r w:rsidRPr="001C5604">
        <w:rPr>
          <w:color w:val="000000" w:themeColor="text1"/>
        </w:rPr>
        <w:t>ranking second), Odesa (21), Volyn (15 international agreements), Rivne (22 new agreements out of 120 concluded in total, 55 in force), and Mykolaiv (19); moderate activity was shown by Kirovohrad and Kharkiv (11 each), Sumy (4 of 11), Donetsk (4), Zaporizhzhia (2), Lviv (2 of 89), Ternopil (5), Ivano-Frankivsk (5 of 48), Zhytomyr (5), Kyiv (8), Poltava (6), Kherson (5), Chernivtsi (3 of 21), and Chernihiv (8).</w:t>
      </w:r>
    </w:p>
    <w:p w14:paraId="212025F3" w14:textId="1B4887A2" w:rsidR="00B144FF" w:rsidRPr="00580259" w:rsidRDefault="00000000" w:rsidP="00580259">
      <w:pPr>
        <w:spacing w:after="160"/>
        <w:jc w:val="both"/>
        <w:rPr>
          <w:sz w:val="24"/>
          <w:szCs w:val="24"/>
        </w:rPr>
      </w:pPr>
      <w:r w:rsidRPr="00580259">
        <w:rPr>
          <w:sz w:val="24"/>
          <w:szCs w:val="24"/>
        </w:rPr>
        <w:t xml:space="preserve">A significant share of oblasts are actively participating in the national project "Side by Side: United Communities," under which numerous memoranda have been concluded between frontline "outpost" communities (in Donetsk, Luhansk, Kharkiv, Kherson, and other regions) and partner communities from other oblasts (Ivano-Frankivsk, Kirovohrad, Khmelnytskyi, Lviv, and others) </w:t>
      </w:r>
      <w:r w:rsidR="00580259">
        <w:rPr>
          <w:sz w:val="24"/>
          <w:szCs w:val="24"/>
        </w:rPr>
        <w:t>–</w:t>
      </w:r>
      <w:r w:rsidRPr="00580259">
        <w:rPr>
          <w:sz w:val="24"/>
          <w:szCs w:val="24"/>
        </w:rPr>
        <w:t>in particular, in Kharkiv oblast 51 communities are cooperating with 141 communities from 15 oblasts, while in Kirovohrad oblast 46 communities are partnering with 55 outpost communities. Kyiv oblast noted problems with legal inconsistencies regarding joint community ownership and the absence of automation of the agreement registry and financial support, while Kherson oblast noted a slowdown in the process due to the temporary occupation of part of its territory and the combat zone, which affects the willingness of foreign partners to formalise long-term relationships.</w:t>
      </w:r>
    </w:p>
    <w:p w14:paraId="695CA66E" w14:textId="77777777" w:rsidR="00B144FF" w:rsidRPr="00580259" w:rsidRDefault="00000000" w:rsidP="00580259">
      <w:pPr>
        <w:spacing w:after="160"/>
        <w:jc w:val="both"/>
        <w:rPr>
          <w:sz w:val="24"/>
          <w:szCs w:val="24"/>
        </w:rPr>
      </w:pPr>
      <w:r w:rsidRPr="00580259">
        <w:rPr>
          <w:sz w:val="24"/>
          <w:szCs w:val="24"/>
        </w:rPr>
        <w:t xml:space="preserve">Regarding support for international territorial cooperation, in 2025 most oblasts actively expanded their network of international partnerships: the most active were Mykolaiv (9 new agreements with cities in Denmark, Poland, Italy, Sweden, Germany, France, and Colombia), Kyiv (several agreements with the UK, Austria, and the Czech Republic, plus 20 memoranda signed during URC 2025 in Rome), Chernivtsi (24 active agreements with Romania, Moldova, the US, Israel, Sweden, and Italy), Donetsk (cooperation with 8 regions in 5 countries, including a new memorandum with the US state of Connecticut), Vinnytsia (2 new agreements with the UK and Italy plus a number of community-level agreements), Khmelnytskyi (8 new documents), Poltava (7), Lviv (3 memoranda with Sweden, SECI, and Slovakia), Kirovohrad (a memorandum with Poland's Lower Silesian Voivodeship and continued cooperation with Germany, the Netherlands, the UK, Latvia, </w:t>
      </w:r>
      <w:r w:rsidRPr="00580259">
        <w:rPr>
          <w:sz w:val="24"/>
          <w:szCs w:val="24"/>
        </w:rPr>
        <w:lastRenderedPageBreak/>
        <w:t>Poland, and Moldova), and Sumy (2 oblast-level agreements plus 2 community-level agreements); Volyn, Zhytomyr, Odesa, Kharkiv, and Chernihiv oblasts focused mainly on training events and preparing communities to participate in Interreg NEXT programmes. Kyiv oblast noted the absence of direct contact with partner regions and lengthy waits for responses, while Chernivtsi oblast noted low community-level activity, limited funding, and the complexity of agreement-approval procedures.</w:t>
      </w:r>
    </w:p>
    <w:p w14:paraId="2269AAEC" w14:textId="77777777" w:rsidR="00B144FF" w:rsidRPr="00580259" w:rsidRDefault="00000000" w:rsidP="00580259">
      <w:pPr>
        <w:spacing w:after="160"/>
        <w:jc w:val="both"/>
        <w:rPr>
          <w:sz w:val="24"/>
          <w:szCs w:val="24"/>
        </w:rPr>
      </w:pPr>
      <w:r w:rsidRPr="00580259">
        <w:rPr>
          <w:sz w:val="24"/>
          <w:szCs w:val="24"/>
        </w:rPr>
        <w:t>In the area of training and encouraging participation in Interreg NEXT competitions, coordinated by the Secretariat of the Cabinet of Ministers, at least 9 information events, trainings, and seminars were held during 2025, including an online training on preparing EU-funded projects (December 2025), a seminar on Interreg management checks (August 2025), and an information campaign for Interreg Cooperation Day.</w:t>
      </w:r>
    </w:p>
    <w:p w14:paraId="4ACED4DC" w14:textId="77777777" w:rsidR="00B144FF" w:rsidRPr="00580259" w:rsidRDefault="00000000" w:rsidP="00580259">
      <w:pPr>
        <w:spacing w:after="160"/>
        <w:jc w:val="both"/>
        <w:rPr>
          <w:sz w:val="24"/>
          <w:szCs w:val="24"/>
        </w:rPr>
      </w:pPr>
      <w:r w:rsidRPr="00580259">
        <w:rPr>
          <w:sz w:val="24"/>
          <w:szCs w:val="24"/>
        </w:rPr>
        <w:t>The measure on introducing new approaches to public-investment management has not yet begun, since its implementation deadline (2027) has not arrived.</w:t>
      </w:r>
    </w:p>
    <w:p w14:paraId="7BC8CD71" w14:textId="2838170C" w:rsidR="00B144FF" w:rsidRPr="00580259" w:rsidRDefault="00000000" w:rsidP="00580259">
      <w:pPr>
        <w:spacing w:after="160"/>
        <w:jc w:val="both"/>
        <w:rPr>
          <w:sz w:val="24"/>
          <w:szCs w:val="24"/>
        </w:rPr>
      </w:pPr>
      <w:r w:rsidRPr="00580259">
        <w:rPr>
          <w:sz w:val="24"/>
          <w:szCs w:val="24"/>
        </w:rPr>
        <w:t xml:space="preserve">Regarding support for attracting international technical-assistance funds for communities' public-investment projects, the State's Unified Project Portfolio was approved by the Strategic Investment Council on 26 August 2025 and updated on 24 October 2025 </w:t>
      </w:r>
      <w:r w:rsidR="00580259">
        <w:rPr>
          <w:sz w:val="24"/>
          <w:szCs w:val="24"/>
        </w:rPr>
        <w:t>–</w:t>
      </w:r>
      <w:r w:rsidRPr="00580259">
        <w:rPr>
          <w:sz w:val="24"/>
          <w:szCs w:val="24"/>
        </w:rPr>
        <w:t>as of 2025, the portfolio included 195 projects and programmes worth UAH 12.54 trillion (131 projects and 64 programmes). Development of a draft law on the horizontal equalisation of local budgets (strengthening the financial capacity of local self-government bodies) has been postponed to the fourth quarter of 2028, in accordance with the Operational Plan for Reforming the Public Finance Management System approved by Cabinet order No. 217-r of 25 February 2026. At the same time, earlier draft laws No. 6281 and No. 6282 of 2021 on delineating the powers of local self-government bodies were withdrawn from consideration in February 2023.</w:t>
      </w:r>
    </w:p>
    <w:p w14:paraId="617E59DD" w14:textId="03BF9313" w:rsidR="00B144FF" w:rsidRPr="00580259" w:rsidRDefault="00000000" w:rsidP="00580259">
      <w:pPr>
        <w:spacing w:after="160"/>
        <w:jc w:val="both"/>
        <w:rPr>
          <w:sz w:val="24"/>
          <w:szCs w:val="24"/>
        </w:rPr>
      </w:pPr>
      <w:r w:rsidRPr="00580259">
        <w:rPr>
          <w:sz w:val="24"/>
          <w:szCs w:val="24"/>
        </w:rPr>
        <w:t xml:space="preserve">In the area of attracting international technical-assistance funds for cultural-heritage protection, the Ministry of Culture prepared and submitted 21 project applications (from the Mykolaiv, Kharkiv, Khmelnytskyi, and Dnipropetrovsk oblast councils), of which 2 projects were approved </w:t>
      </w:r>
      <w:r w:rsidR="00580259">
        <w:rPr>
          <w:sz w:val="24"/>
          <w:szCs w:val="24"/>
        </w:rPr>
        <w:t>–</w:t>
      </w:r>
      <w:r w:rsidRPr="00580259">
        <w:rPr>
          <w:sz w:val="24"/>
          <w:szCs w:val="24"/>
        </w:rPr>
        <w:t xml:space="preserve">"Through the History of Wedding Fashion" (Khmelnytskyi oblast) and "Heritage Lab: Petrykivka" (Dnipropetrovsk oblast) </w:t>
      </w:r>
      <w:r w:rsidR="00580259">
        <w:rPr>
          <w:sz w:val="24"/>
          <w:szCs w:val="24"/>
        </w:rPr>
        <w:t>–</w:t>
      </w:r>
      <w:r w:rsidRPr="00580259">
        <w:rPr>
          <w:sz w:val="24"/>
          <w:szCs w:val="24"/>
        </w:rPr>
        <w:t>while 2 further projects were being implemented: a 3D tour of the Volyn Art Museum and an ethnographic project of the Zakarpattia Museum in cooperation with Romania and Slovakia. In addition, on 11 December 2025 a conference titled "Culture and Investment: Public-Private Partnership, Patronage, Investment Projects" was held, along with 7 other thematic events involving the Zakarpattia, Dnipropetrovsk, Volyn, Odesa, Kyiv, and Kharkiv oblast councils.</w:t>
      </w:r>
    </w:p>
    <w:p w14:paraId="474A7031" w14:textId="4CE7DCFF" w:rsidR="00B144FF" w:rsidRPr="00580259" w:rsidRDefault="00000000" w:rsidP="00580259">
      <w:pPr>
        <w:spacing w:after="160"/>
        <w:jc w:val="both"/>
        <w:rPr>
          <w:sz w:val="24"/>
          <w:szCs w:val="24"/>
        </w:rPr>
      </w:pPr>
      <w:r w:rsidRPr="00580259">
        <w:rPr>
          <w:sz w:val="24"/>
          <w:szCs w:val="24"/>
        </w:rPr>
        <w:t xml:space="preserve">Regarding reform of the State Fund for Regional Development (SFRD), a transitional reform phase continued in 2025: the Law on the State Budget for 2025 allocated UAH 1 billion under the SFRD programme, and the procedure for using these funds was approved by Cabinet Resolution No. 971 of 13 August 2025. The Law on the State Budget for 2026 (Law No. 4695-IX of 3 December 2025) allocates only UAH 2 billion to the SFRD </w:t>
      </w:r>
      <w:r w:rsidR="00580259">
        <w:rPr>
          <w:sz w:val="24"/>
          <w:szCs w:val="24"/>
        </w:rPr>
        <w:t>–</w:t>
      </w:r>
      <w:r w:rsidRPr="00580259">
        <w:rPr>
          <w:sz w:val="24"/>
          <w:szCs w:val="24"/>
        </w:rPr>
        <w:t>15 times less than the amount set out in the Medium-Term Plan of Priority Public Investments for 2026–2028. The Ministry of Development is drafting a Cabinet resolution on procedures for preparing and using SFRD funds, while holding consultations with EU representatives (DG ENEST, DG REGIO), the World Bank, and EU4Reconstruction on aligning the fund's mechanisms with EU structural funds.</w:t>
      </w:r>
    </w:p>
    <w:p w14:paraId="0DBED9C7" w14:textId="04197041" w:rsidR="00B144FF" w:rsidRPr="00580259" w:rsidRDefault="00000000" w:rsidP="00580259">
      <w:pPr>
        <w:spacing w:after="160"/>
        <w:jc w:val="both"/>
        <w:rPr>
          <w:sz w:val="24"/>
          <w:szCs w:val="24"/>
        </w:rPr>
      </w:pPr>
      <w:r w:rsidRPr="00580259">
        <w:rPr>
          <w:sz w:val="24"/>
          <w:szCs w:val="24"/>
        </w:rPr>
        <w:lastRenderedPageBreak/>
        <w:t xml:space="preserve">As part of introducing the DREAM system for end-to-end management of investment projects, the Ministry of Development submitted a draft resolution on the system's operating procedure for clearance twice in 2025, but on both occasions the Ministry of Finance did not support the document, insisting that the Concept for a Unified Digital Ecosystem for Public Investment Management be agreed first; the draft of this Concept (lead executor: the Ministry of Finance) was cleared with the Ministry of Development, with comments, on two occasions </w:t>
      </w:r>
      <w:r w:rsidR="00580259">
        <w:rPr>
          <w:sz w:val="24"/>
          <w:szCs w:val="24"/>
        </w:rPr>
        <w:t>–</w:t>
      </w:r>
      <w:r w:rsidRPr="00580259">
        <w:rPr>
          <w:sz w:val="24"/>
          <w:szCs w:val="24"/>
        </w:rPr>
        <w:t xml:space="preserve">in November 2025 and March 2026 </w:t>
      </w:r>
      <w:r w:rsidR="00580259">
        <w:rPr>
          <w:sz w:val="24"/>
          <w:szCs w:val="24"/>
        </w:rPr>
        <w:t>–</w:t>
      </w:r>
      <w:r w:rsidRPr="00580259">
        <w:rPr>
          <w:sz w:val="24"/>
          <w:szCs w:val="24"/>
        </w:rPr>
        <w:t>and, as of the reporting date, the act approving it has not yet been adopted. At the same time, DREAM has been designated the key digital tool of the public-investment management reform, providing structured representation of projects and programmes, traceability of their progress from initiation to implementation, linkage with funding data, integration with the Prozorro procurement system, and public availability of information for civic oversight.</w:t>
      </w:r>
    </w:p>
    <w:p w14:paraId="6DB54FD4" w14:textId="77777777" w:rsidR="00B144FF" w:rsidRPr="00580259" w:rsidRDefault="00000000" w:rsidP="00580259">
      <w:pPr>
        <w:spacing w:after="160"/>
        <w:jc w:val="both"/>
        <w:rPr>
          <w:sz w:val="24"/>
          <w:szCs w:val="24"/>
        </w:rPr>
      </w:pPr>
      <w:r w:rsidRPr="00580259">
        <w:rPr>
          <w:sz w:val="24"/>
          <w:szCs w:val="24"/>
        </w:rPr>
        <w:t>As of the reporting period, 978 communities and 23 regions had approved their own Medium-Term Plans of Priority Public Investments, and 826 communities and 23 regions had formed unified project portfolios reflected in the system. By Ministry of Development order No. 1289 of 20 August 2025, the DREAM software was put into pilot operation; its modernisation is being carried out in stages in accordance with Cabinet Resolution No. 205 of 21 February 2025 and is a resource-intensive process. Under Cabinet Resolution No. 527 of 28 February 2025 (as amended by No. 1049 of 26 August 2025), pending adoption of an act on the operating procedure of the Unified Information System for Public Investment Project Management, the preparation and evaluation of projects and the formation of the state's unified project portfolio are carried out using DREAM software tools, which are planned to eventually be renamed the "Digital Integrated Information-Analytical System for the Preparation and Monitoring of Public Investment Projects and Programmes" within the Unified Information System for Public Investment Project Management.</w:t>
      </w:r>
    </w:p>
    <w:p w14:paraId="5FC45C1E" w14:textId="56DFBE71" w:rsidR="00B144FF" w:rsidRPr="00580259" w:rsidRDefault="00000000" w:rsidP="00580259">
      <w:pPr>
        <w:spacing w:after="160"/>
        <w:jc w:val="both"/>
        <w:rPr>
          <w:sz w:val="24"/>
          <w:szCs w:val="24"/>
        </w:rPr>
      </w:pPr>
      <w:r w:rsidRPr="00580259">
        <w:rPr>
          <w:sz w:val="24"/>
          <w:szCs w:val="24"/>
        </w:rPr>
        <w:t xml:space="preserve">As part of introducing a systematic approach to the preparation, screening, prioritisation, selection, implementation, monitoring, and effectiveness evaluation of public-investment projects, the Ministry of Economy approved three orders: Methodological Recommendations on analysing the environmental impact, inclusivity, and accessibility of projects (No. 353 of 28 August 2025); Methodological Recommendations on establishing local investment councils and developing medium-term plans of priority public investments (No. 352 of 28 August 2025); and Model Regulations on a public-investment management unit (No. 2942 of 6 August 2025). A number of training sessions were also held for representatives of oblast state (military) administrations and local self-government bodies </w:t>
      </w:r>
      <w:r w:rsidR="00580259">
        <w:rPr>
          <w:sz w:val="24"/>
          <w:szCs w:val="24"/>
        </w:rPr>
        <w:t>–</w:t>
      </w:r>
      <w:r w:rsidRPr="00580259">
        <w:rPr>
          <w:sz w:val="24"/>
          <w:szCs w:val="24"/>
        </w:rPr>
        <w:t>a presentation of a guide to managing the implementation of public-investment projects, training on institutional support for relevant units, and a practical seminar titled "Public Investment Management Reform: Practical Aspects of Implementation."</w:t>
      </w:r>
    </w:p>
    <w:p w14:paraId="0B0EDE84" w14:textId="77777777" w:rsidR="00B144FF" w:rsidRPr="00580259" w:rsidRDefault="00000000" w:rsidP="00580259">
      <w:pPr>
        <w:spacing w:after="160"/>
        <w:jc w:val="both"/>
        <w:rPr>
          <w:sz w:val="24"/>
          <w:szCs w:val="24"/>
        </w:rPr>
      </w:pPr>
      <w:r w:rsidRPr="00580259">
        <w:rPr>
          <w:sz w:val="24"/>
          <w:szCs w:val="24"/>
        </w:rPr>
        <w:t>The Ministry of Finance has prepared a draft Concept for a Unified Digital Ecosystem for Public Investment Management and an accompanying action plan, providing for regulatory arrangements governing the use of DREAM and its phased integration with the information systems of the Ministry of Finance, the Ministry of Economy, and the State Treasury Service, while the Ministry of Development has prepared a draft Cabinet resolution on an updated Regulation for the DREAM system as a component of the Unified Information System.</w:t>
      </w:r>
    </w:p>
    <w:sectPr w:rsidR="00B144FF" w:rsidRPr="00580259">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5F1D66"/>
    <w:multiLevelType w:val="hybridMultilevel"/>
    <w:tmpl w:val="064AB776"/>
    <w:lvl w:ilvl="0" w:tplc="CE309048">
      <w:start w:val="1"/>
      <w:numFmt w:val="bullet"/>
      <w:lvlText w:val="●"/>
      <w:lvlJc w:val="left"/>
      <w:pPr>
        <w:ind w:left="720" w:hanging="360"/>
      </w:pPr>
    </w:lvl>
    <w:lvl w:ilvl="1" w:tplc="C34837D6">
      <w:start w:val="1"/>
      <w:numFmt w:val="bullet"/>
      <w:lvlText w:val="○"/>
      <w:lvlJc w:val="left"/>
      <w:pPr>
        <w:ind w:left="1440" w:hanging="360"/>
      </w:pPr>
    </w:lvl>
    <w:lvl w:ilvl="2" w:tplc="6824B166">
      <w:start w:val="1"/>
      <w:numFmt w:val="bullet"/>
      <w:lvlText w:val="■"/>
      <w:lvlJc w:val="left"/>
      <w:pPr>
        <w:ind w:left="2160" w:hanging="360"/>
      </w:pPr>
    </w:lvl>
    <w:lvl w:ilvl="3" w:tplc="451A777E">
      <w:start w:val="1"/>
      <w:numFmt w:val="bullet"/>
      <w:lvlText w:val="●"/>
      <w:lvlJc w:val="left"/>
      <w:pPr>
        <w:ind w:left="2880" w:hanging="360"/>
      </w:pPr>
    </w:lvl>
    <w:lvl w:ilvl="4" w:tplc="AC805D26">
      <w:start w:val="1"/>
      <w:numFmt w:val="bullet"/>
      <w:lvlText w:val="○"/>
      <w:lvlJc w:val="left"/>
      <w:pPr>
        <w:ind w:left="3600" w:hanging="360"/>
      </w:pPr>
    </w:lvl>
    <w:lvl w:ilvl="5" w:tplc="16006F46">
      <w:start w:val="1"/>
      <w:numFmt w:val="bullet"/>
      <w:lvlText w:val="■"/>
      <w:lvlJc w:val="left"/>
      <w:pPr>
        <w:ind w:left="4320" w:hanging="360"/>
      </w:pPr>
    </w:lvl>
    <w:lvl w:ilvl="6" w:tplc="422AA812">
      <w:start w:val="1"/>
      <w:numFmt w:val="bullet"/>
      <w:lvlText w:val="●"/>
      <w:lvlJc w:val="left"/>
      <w:pPr>
        <w:ind w:left="5040" w:hanging="360"/>
      </w:pPr>
    </w:lvl>
    <w:lvl w:ilvl="7" w:tplc="27180E48">
      <w:start w:val="1"/>
      <w:numFmt w:val="bullet"/>
      <w:lvlText w:val="●"/>
      <w:lvlJc w:val="left"/>
      <w:pPr>
        <w:ind w:left="5760" w:hanging="360"/>
      </w:pPr>
    </w:lvl>
    <w:lvl w:ilvl="8" w:tplc="305A7A90">
      <w:start w:val="1"/>
      <w:numFmt w:val="bullet"/>
      <w:lvlText w:val="●"/>
      <w:lvlJc w:val="left"/>
      <w:pPr>
        <w:ind w:left="6480" w:hanging="360"/>
      </w:pPr>
    </w:lvl>
  </w:abstractNum>
  <w:num w:numId="1" w16cid:durableId="141177968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doNotDisplayPageBoundaries/>
  <w:displayBackgroundShape/>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44FF"/>
    <w:rsid w:val="001C5604"/>
    <w:rsid w:val="00211562"/>
    <w:rsid w:val="00580259"/>
    <w:rsid w:val="00B144FF"/>
    <w:rsid w:val="00CF6387"/>
    <w:rsid w:val="00DF468C"/>
    <w:rsid w:val="00FE225F"/>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decimalSymbol w:val=","/>
  <w:listSeparator w:val=";"/>
  <w14:docId w14:val="2ECC5EEF"/>
  <w15:docId w15:val="{7D94EA34-A4AD-064D-A327-851C318CF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UA"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outlineLvl w:val="0"/>
    </w:pPr>
    <w:rPr>
      <w:color w:val="2E74B5"/>
      <w:sz w:val="32"/>
      <w:szCs w:val="32"/>
    </w:rPr>
  </w:style>
  <w:style w:type="paragraph" w:styleId="2">
    <w:name w:val="heading 2"/>
    <w:uiPriority w:val="9"/>
    <w:unhideWhenUsed/>
    <w:qFormat/>
    <w:pPr>
      <w:outlineLvl w:val="1"/>
    </w:pPr>
    <w:rPr>
      <w:color w:val="2E74B5"/>
      <w:sz w:val="26"/>
      <w:szCs w:val="26"/>
    </w:rPr>
  </w:style>
  <w:style w:type="paragraph" w:styleId="3">
    <w:name w:val="heading 3"/>
    <w:uiPriority w:val="9"/>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13</Pages>
  <Words>7290</Words>
  <Characters>41554</Characters>
  <Application>Microsoft Office Word</Application>
  <DocSecurity>0</DocSecurity>
  <Lines>346</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Daria Zahrebelna</cp:lastModifiedBy>
  <cp:revision>3</cp:revision>
  <dcterms:created xsi:type="dcterms:W3CDTF">2026-07-31T05:56:00Z</dcterms:created>
  <dcterms:modified xsi:type="dcterms:W3CDTF">2026-07-31T06:03:00Z</dcterms:modified>
</cp:coreProperties>
</file>